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88027">
      <w:pPr>
        <w:spacing w:line="600" w:lineRule="auto"/>
        <w:jc w:val="center"/>
        <w:rPr>
          <w:rFonts w:hint="eastAsia" w:ascii="宋体" w:hAnsi="宋体"/>
          <w:b w:val="0"/>
          <w:bCs w:val="0"/>
          <w:sz w:val="44"/>
          <w:szCs w:val="44"/>
          <w:lang w:val="en-US" w:eastAsia="zh-CN"/>
        </w:rPr>
      </w:pPr>
    </w:p>
    <w:p w14:paraId="3F43F4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OLE_LINK3"/>
      <w:r>
        <w:rPr>
          <w:rFonts w:hint="eastAsia" w:ascii="方正小标宋简体" w:hAnsi="方正小标宋简体" w:eastAsia="方正小标宋简体" w:cs="方正小标宋简体"/>
          <w:b w:val="0"/>
          <w:bCs w:val="0"/>
          <w:sz w:val="44"/>
          <w:szCs w:val="44"/>
          <w:lang w:val="en-US" w:eastAsia="zh-CN"/>
        </w:rPr>
        <w:t>中心广场公厕及莞香印巷商铺电气线路</w:t>
      </w:r>
    </w:p>
    <w:p w14:paraId="143F68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检测项目</w:t>
      </w:r>
      <w:bookmarkEnd w:id="0"/>
    </w:p>
    <w:p w14:paraId="0B8AE14A">
      <w:pPr>
        <w:spacing w:line="0" w:lineRule="atLeast"/>
        <w:jc w:val="center"/>
        <w:rPr>
          <w:rFonts w:hint="eastAsia" w:ascii="宋体" w:hAnsi="宋体"/>
          <w:b/>
          <w:bCs/>
          <w:sz w:val="44"/>
          <w:szCs w:val="44"/>
          <w:lang w:val="en-US" w:eastAsia="zh-CN"/>
        </w:rPr>
      </w:pPr>
    </w:p>
    <w:p w14:paraId="085BF811">
      <w:pPr>
        <w:spacing w:line="0" w:lineRule="atLeast"/>
        <w:jc w:val="center"/>
        <w:rPr>
          <w:rFonts w:hint="eastAsia" w:ascii="宋体" w:hAnsi="宋体"/>
          <w:b/>
          <w:bCs/>
          <w:sz w:val="44"/>
          <w:szCs w:val="44"/>
          <w:lang w:val="en-US" w:eastAsia="zh-CN"/>
        </w:rPr>
      </w:pPr>
    </w:p>
    <w:p w14:paraId="7A693265">
      <w:pPr>
        <w:spacing w:line="0" w:lineRule="atLeast"/>
        <w:jc w:val="center"/>
        <w:rPr>
          <w:rFonts w:hint="eastAsia" w:ascii="宋体" w:hAnsi="宋体"/>
          <w:b/>
          <w:bCs/>
          <w:sz w:val="44"/>
          <w:szCs w:val="44"/>
          <w:lang w:val="en-US" w:eastAsia="zh-CN"/>
        </w:rPr>
      </w:pPr>
    </w:p>
    <w:p w14:paraId="15A63493">
      <w:pPr>
        <w:spacing w:line="0" w:lineRule="atLeast"/>
        <w:jc w:val="center"/>
        <w:rPr>
          <w:rFonts w:hint="eastAsia" w:ascii="宋体" w:hAnsi="宋体"/>
          <w:b/>
          <w:bCs/>
          <w:sz w:val="44"/>
          <w:szCs w:val="44"/>
          <w:lang w:val="en-US" w:eastAsia="zh-CN"/>
        </w:rPr>
      </w:pPr>
    </w:p>
    <w:p w14:paraId="25F3896C">
      <w:pPr>
        <w:spacing w:line="0" w:lineRule="atLeast"/>
        <w:jc w:val="center"/>
        <w:rPr>
          <w:rFonts w:hint="eastAsia" w:ascii="宋体" w:hAnsi="宋体"/>
          <w:b/>
          <w:bCs/>
          <w:sz w:val="44"/>
          <w:szCs w:val="44"/>
          <w:lang w:val="en-US" w:eastAsia="zh-CN"/>
        </w:rPr>
      </w:pPr>
    </w:p>
    <w:p w14:paraId="0D66EAC9">
      <w:pPr>
        <w:spacing w:line="0" w:lineRule="atLeast"/>
        <w:jc w:val="center"/>
        <w:rPr>
          <w:rFonts w:hint="eastAsia" w:ascii="宋体" w:hAnsi="宋体"/>
          <w:b/>
          <w:bCs/>
          <w:sz w:val="44"/>
          <w:szCs w:val="44"/>
          <w:lang w:val="en-US" w:eastAsia="zh-CN"/>
        </w:rPr>
      </w:pPr>
    </w:p>
    <w:p w14:paraId="1B137C7A">
      <w:pPr>
        <w:spacing w:line="0" w:lineRule="atLeast"/>
        <w:jc w:val="center"/>
        <w:rPr>
          <w:rFonts w:hint="eastAsia" w:ascii="宋体" w:hAnsi="宋体"/>
          <w:b/>
          <w:bCs/>
          <w:sz w:val="44"/>
          <w:szCs w:val="44"/>
          <w:lang w:val="en-US" w:eastAsia="zh-CN"/>
        </w:rPr>
      </w:pPr>
    </w:p>
    <w:p w14:paraId="654D1C86">
      <w:pPr>
        <w:spacing w:line="0" w:lineRule="atLeast"/>
        <w:jc w:val="center"/>
        <w:rPr>
          <w:rFonts w:hint="eastAsia" w:ascii="宋体" w:hAnsi="宋体"/>
          <w:b/>
          <w:bCs/>
          <w:sz w:val="44"/>
          <w:szCs w:val="44"/>
          <w:lang w:val="en-US" w:eastAsia="zh-CN"/>
        </w:rPr>
      </w:pPr>
    </w:p>
    <w:p w14:paraId="7DE637D4">
      <w:pPr>
        <w:spacing w:line="0" w:lineRule="atLeast"/>
        <w:jc w:val="center"/>
        <w:rPr>
          <w:rFonts w:hint="eastAsia" w:ascii="宋体" w:hAnsi="宋体"/>
          <w:b/>
          <w:bCs/>
          <w:sz w:val="44"/>
          <w:szCs w:val="44"/>
          <w:lang w:val="en-US" w:eastAsia="zh-CN"/>
        </w:rPr>
      </w:pPr>
    </w:p>
    <w:p w14:paraId="12876452">
      <w:pPr>
        <w:pStyle w:val="10"/>
        <w:rPr>
          <w:rFonts w:hint="eastAsia" w:ascii="宋体" w:hAnsi="宋体"/>
          <w:b/>
          <w:bCs/>
          <w:sz w:val="44"/>
          <w:szCs w:val="44"/>
          <w:lang w:val="en-US" w:eastAsia="zh-CN"/>
        </w:rPr>
      </w:pPr>
    </w:p>
    <w:p w14:paraId="491E8DF1">
      <w:pPr>
        <w:pStyle w:val="10"/>
        <w:rPr>
          <w:rFonts w:hint="eastAsia" w:ascii="宋体" w:hAnsi="宋体"/>
          <w:b/>
          <w:bCs/>
          <w:sz w:val="44"/>
          <w:szCs w:val="44"/>
          <w:lang w:val="en-US" w:eastAsia="zh-CN"/>
        </w:rPr>
      </w:pPr>
    </w:p>
    <w:p w14:paraId="3FC1F045">
      <w:pPr>
        <w:spacing w:line="600" w:lineRule="auto"/>
        <w:jc w:val="left"/>
        <w:rPr>
          <w:rFonts w:hint="eastAsia"/>
          <w:sz w:val="32"/>
          <w:szCs w:val="32"/>
          <w:lang w:val="en-US" w:eastAsia="zh-CN"/>
        </w:rPr>
      </w:pPr>
    </w:p>
    <w:p w14:paraId="14E2F944">
      <w:pPr>
        <w:spacing w:line="600" w:lineRule="auto"/>
        <w:jc w:val="left"/>
        <w:rPr>
          <w:rFonts w:hint="eastAsia"/>
          <w:sz w:val="32"/>
          <w:szCs w:val="32"/>
          <w:lang w:val="en-US" w:eastAsia="zh-CN"/>
        </w:rPr>
      </w:pPr>
    </w:p>
    <w:p w14:paraId="1BDE9770">
      <w:pPr>
        <w:keepNext w:val="0"/>
        <w:keepLines w:val="0"/>
        <w:pageBreakBefore w:val="0"/>
        <w:widowControl w:val="0"/>
        <w:kinsoku/>
        <w:wordWrap/>
        <w:overflowPunct/>
        <w:topLinePunct w:val="0"/>
        <w:autoSpaceDE/>
        <w:autoSpaceDN/>
        <w:bidi w:val="0"/>
        <w:adjustRightInd/>
        <w:snapToGrid/>
        <w:spacing w:line="1000" w:lineRule="exact"/>
        <w:ind w:firstLine="360" w:firstLineChars="100"/>
        <w:jc w:val="left"/>
        <w:textAlignment w:val="auto"/>
        <w:rPr>
          <w:rFonts w:hint="eastAsia" w:ascii="楷体" w:hAnsi="楷体" w:eastAsia="楷体" w:cs="楷体"/>
          <w:sz w:val="36"/>
          <w:szCs w:val="36"/>
          <w:u w:val="single"/>
          <w:lang w:val="en-US" w:eastAsia="zh-CN"/>
        </w:rPr>
      </w:pPr>
      <w:r>
        <w:rPr>
          <w:rFonts w:hint="eastAsia" w:ascii="楷体" w:hAnsi="楷体" w:eastAsia="楷体" w:cs="楷体"/>
          <w:sz w:val="36"/>
          <w:szCs w:val="36"/>
          <w:lang w:val="en-US" w:eastAsia="zh-CN"/>
        </w:rPr>
        <w:t>甲方（单位名称）：</w:t>
      </w:r>
      <w:r>
        <w:rPr>
          <w:rFonts w:hint="eastAsia" w:ascii="楷体" w:hAnsi="楷体" w:eastAsia="楷体" w:cs="楷体"/>
          <w:sz w:val="36"/>
          <w:szCs w:val="36"/>
          <w:u w:val="none"/>
          <w:lang w:val="en-US" w:eastAsia="zh-CN"/>
        </w:rPr>
        <w:t xml:space="preserve"> </w:t>
      </w:r>
      <w:r>
        <w:rPr>
          <w:rFonts w:hint="eastAsia" w:ascii="楷体" w:hAnsi="楷体" w:eastAsia="楷体" w:cs="楷体"/>
          <w:sz w:val="36"/>
          <w:szCs w:val="36"/>
          <w:u w:val="single"/>
          <w:lang w:val="en-US" w:eastAsia="zh-CN"/>
        </w:rPr>
        <w:t xml:space="preserve"> 东莞市市政园林管理中心     </w:t>
      </w:r>
    </w:p>
    <w:p w14:paraId="5DBE94B5">
      <w:pPr>
        <w:keepNext w:val="0"/>
        <w:keepLines w:val="0"/>
        <w:pageBreakBefore w:val="0"/>
        <w:widowControl w:val="0"/>
        <w:kinsoku/>
        <w:wordWrap/>
        <w:overflowPunct/>
        <w:topLinePunct w:val="0"/>
        <w:autoSpaceDE/>
        <w:autoSpaceDN/>
        <w:bidi w:val="0"/>
        <w:adjustRightInd/>
        <w:snapToGrid/>
        <w:spacing w:line="1000" w:lineRule="exact"/>
        <w:ind w:firstLine="360" w:firstLineChars="100"/>
        <w:jc w:val="left"/>
        <w:textAlignment w:val="auto"/>
        <w:rPr>
          <w:rFonts w:hint="eastAsia" w:ascii="楷体" w:hAnsi="楷体" w:eastAsia="楷体" w:cs="楷体"/>
          <w:sz w:val="36"/>
          <w:szCs w:val="36"/>
          <w:u w:val="single"/>
          <w:lang w:val="en-US" w:eastAsia="zh-CN"/>
        </w:rPr>
      </w:pPr>
      <w:r>
        <w:rPr>
          <w:rFonts w:hint="eastAsia" w:ascii="楷体" w:hAnsi="楷体" w:eastAsia="楷体" w:cs="楷体"/>
          <w:sz w:val="36"/>
          <w:szCs w:val="36"/>
          <w:u w:val="none"/>
          <w:lang w:val="en-US" w:eastAsia="zh-CN"/>
        </w:rPr>
        <w:t xml:space="preserve">乙方（单位名称）： </w:t>
      </w:r>
      <w:r>
        <w:rPr>
          <w:rFonts w:hint="eastAsia" w:ascii="楷体" w:hAnsi="楷体" w:eastAsia="楷体" w:cs="楷体"/>
          <w:sz w:val="36"/>
          <w:szCs w:val="36"/>
          <w:u w:val="single"/>
          <w:lang w:val="en-US" w:eastAsia="zh-CN"/>
        </w:rPr>
        <w:t xml:space="preserve">                         </w:t>
      </w:r>
    </w:p>
    <w:p w14:paraId="3A2CEA1B">
      <w:pPr>
        <w:rPr>
          <w:rFonts w:hint="eastAsia" w:ascii="楷体" w:hAnsi="楷体" w:eastAsia="楷体" w:cs="楷体"/>
          <w:sz w:val="32"/>
          <w:szCs w:val="32"/>
        </w:rPr>
      </w:pPr>
    </w:p>
    <w:p w14:paraId="3A855232">
      <w:pPr>
        <w:rPr>
          <w:rFonts w:hint="eastAsia" w:ascii="楷体" w:hAnsi="楷体" w:eastAsia="楷体" w:cs="楷体"/>
          <w:sz w:val="32"/>
          <w:szCs w:val="32"/>
        </w:rPr>
      </w:pPr>
    </w:p>
    <w:p w14:paraId="40887836">
      <w:pPr>
        <w:rPr>
          <w:rFonts w:hint="eastAsia" w:ascii="楷体" w:hAnsi="楷体" w:eastAsia="楷体" w:cs="楷体"/>
          <w:sz w:val="32"/>
          <w:szCs w:val="32"/>
        </w:rPr>
      </w:pPr>
    </w:p>
    <w:p w14:paraId="33D99A98">
      <w:pPr>
        <w:rPr>
          <w:rFonts w:hint="eastAsia" w:ascii="楷体" w:hAnsi="楷体" w:eastAsia="楷体" w:cs="楷体"/>
          <w:sz w:val="32"/>
          <w:szCs w:val="32"/>
        </w:rPr>
      </w:pPr>
    </w:p>
    <w:p w14:paraId="43CFEFE2">
      <w:pPr>
        <w:rPr>
          <w:rFonts w:hint="eastAsia" w:ascii="楷体" w:hAnsi="楷体" w:eastAsia="楷体" w:cs="楷体"/>
          <w:sz w:val="32"/>
          <w:szCs w:val="32"/>
        </w:rPr>
      </w:pPr>
    </w:p>
    <w:p w14:paraId="4A82C398">
      <w:pPr>
        <w:rPr>
          <w:rFonts w:hint="eastAsia" w:ascii="楷体" w:hAnsi="楷体" w:eastAsia="楷体" w:cs="楷体"/>
          <w:sz w:val="32"/>
          <w:szCs w:val="32"/>
        </w:rPr>
      </w:pPr>
    </w:p>
    <w:p w14:paraId="4EFB2630">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719B4CFD">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6EAC7347">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0E413935">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63AFE56A">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4A384BA9">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5B89D0FE">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2CEBAB22">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6E8A3673">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3B60224B">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06A28E5B">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5F196D03">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34A0F428">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71A4313D">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pPr>
    </w:p>
    <w:p w14:paraId="66E9A7F4">
      <w:pPr>
        <w:keepNext w:val="0"/>
        <w:keepLines w:val="0"/>
        <w:pageBreakBefore w:val="0"/>
        <w:widowControl w:val="0"/>
        <w:kinsoku/>
        <w:wordWrap/>
        <w:overflowPunct/>
        <w:topLinePunct w:val="0"/>
        <w:autoSpaceDE/>
        <w:autoSpaceDN/>
        <w:bidi w:val="0"/>
        <w:adjustRightInd/>
        <w:snapToGrid/>
        <w:spacing w:after="156" w:afterLines="50" w:line="520" w:lineRule="atLeast"/>
        <w:ind w:firstLine="600" w:firstLineChars="200"/>
        <w:jc w:val="center"/>
        <w:textAlignment w:val="auto"/>
        <w:rPr>
          <w:rFonts w:hint="eastAsia" w:ascii="仿宋" w:hAnsi="仿宋" w:eastAsia="仿宋" w:cs="仿宋"/>
          <w:bCs/>
          <w:sz w:val="30"/>
          <w:szCs w:val="30"/>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22B034C0">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default" w:ascii="Times New Roman" w:hAnsi="Times New Roman" w:eastAsia="仿宋_GB2312" w:cs="Times New Roman"/>
          <w:bCs/>
          <w:spacing w:val="-6"/>
          <w:sz w:val="32"/>
          <w:szCs w:val="32"/>
          <w:lang w:eastAsia="zh-CN"/>
        </w:rPr>
      </w:pPr>
      <w:r>
        <w:rPr>
          <w:rFonts w:hint="default" w:ascii="Times New Roman" w:hAnsi="Times New Roman" w:eastAsia="仿宋_GB2312" w:cs="Times New Roman"/>
          <w:bCs/>
          <w:spacing w:val="-6"/>
          <w:sz w:val="32"/>
          <w:szCs w:val="32"/>
          <w:lang w:eastAsia="zh-CN"/>
        </w:rPr>
        <w:t>甲方</w:t>
      </w:r>
      <w:r>
        <w:rPr>
          <w:rFonts w:hint="eastAsia" w:eastAsia="仿宋_GB2312" w:cs="Times New Roman"/>
          <w:bCs/>
          <w:spacing w:val="-6"/>
          <w:sz w:val="32"/>
          <w:szCs w:val="32"/>
          <w:lang w:eastAsia="zh-CN"/>
        </w:rPr>
        <w:t>（委托单位）</w:t>
      </w:r>
      <w:r>
        <w:rPr>
          <w:rFonts w:hint="default" w:ascii="Times New Roman" w:hAnsi="Times New Roman" w:eastAsia="仿宋_GB2312" w:cs="Times New Roman"/>
          <w:bCs/>
          <w:spacing w:val="-6"/>
          <w:sz w:val="32"/>
          <w:szCs w:val="32"/>
          <w:lang w:eastAsia="zh-CN"/>
        </w:rPr>
        <w:t>：</w:t>
      </w:r>
      <w:r>
        <w:rPr>
          <w:rFonts w:hint="default" w:ascii="Times New Roman" w:hAnsi="Times New Roman" w:eastAsia="仿宋_GB2312" w:cs="Times New Roman"/>
          <w:bCs/>
          <w:spacing w:val="-6"/>
          <w:sz w:val="32"/>
          <w:szCs w:val="32"/>
          <w:u w:val="single"/>
          <w:lang w:eastAsia="zh-CN"/>
        </w:rPr>
        <w:t>东莞市市政园林管理中心</w:t>
      </w:r>
      <w:r>
        <w:rPr>
          <w:rFonts w:hint="eastAsia" w:eastAsia="仿宋_GB2312" w:cs="Times New Roman"/>
          <w:bCs/>
          <w:spacing w:val="-6"/>
          <w:sz w:val="32"/>
          <w:szCs w:val="32"/>
          <w:lang w:eastAsia="zh-CN"/>
        </w:rPr>
        <w:t>（以下简称甲方）</w:t>
      </w:r>
    </w:p>
    <w:p w14:paraId="26BCA4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pacing w:val="-6"/>
          <w:sz w:val="32"/>
          <w:szCs w:val="32"/>
          <w:lang w:val="en-US" w:eastAsia="zh-CN"/>
        </w:rPr>
      </w:pPr>
      <w:r>
        <w:rPr>
          <w:rFonts w:hint="default" w:ascii="Times New Roman" w:hAnsi="Times New Roman" w:eastAsia="仿宋_GB2312" w:cs="Times New Roman"/>
          <w:bCs/>
          <w:sz w:val="32"/>
          <w:szCs w:val="32"/>
          <w:lang w:eastAsia="zh-CN"/>
        </w:rPr>
        <w:t>乙方</w:t>
      </w:r>
      <w:r>
        <w:rPr>
          <w:rFonts w:hint="eastAsia" w:eastAsia="仿宋_GB2312" w:cs="Times New Roman"/>
          <w:bCs/>
          <w:spacing w:val="-6"/>
          <w:sz w:val="32"/>
          <w:szCs w:val="32"/>
          <w:lang w:val="en-US" w:eastAsia="zh-CN"/>
        </w:rPr>
        <w:t>（受托单位）：</w:t>
      </w:r>
      <w:r>
        <w:rPr>
          <w:rFonts w:hint="eastAsia" w:eastAsia="仿宋_GB2312" w:cs="Times New Roman"/>
          <w:bCs/>
          <w:spacing w:val="-6"/>
          <w:sz w:val="32"/>
          <w:szCs w:val="32"/>
          <w:u w:val="single"/>
          <w:lang w:val="en-US" w:eastAsia="zh-CN"/>
        </w:rPr>
        <w:t xml:space="preserve">                       </w:t>
      </w:r>
      <w:r>
        <w:rPr>
          <w:rFonts w:hint="eastAsia" w:eastAsia="仿宋_GB2312" w:cs="Times New Roman"/>
          <w:bCs/>
          <w:spacing w:val="-6"/>
          <w:sz w:val="32"/>
          <w:szCs w:val="32"/>
          <w:lang w:eastAsia="zh-CN"/>
        </w:rPr>
        <w:t>（以下简称乙方）</w:t>
      </w:r>
    </w:p>
    <w:p w14:paraId="649B19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根据</w:t>
      </w:r>
      <w:r>
        <w:rPr>
          <w:rFonts w:hint="default" w:ascii="Times New Roman" w:hAnsi="Times New Roman" w:eastAsia="仿宋_GB2312" w:cs="Times New Roman"/>
          <w:bCs/>
          <w:sz w:val="32"/>
          <w:szCs w:val="32"/>
          <w:lang w:eastAsia="zh-CN"/>
        </w:rPr>
        <w:t>《中华人民共和国民法典》及其他相关法律、法规之规定</w:t>
      </w:r>
      <w:r>
        <w:rPr>
          <w:rFonts w:hint="default" w:ascii="Times New Roman" w:hAnsi="Times New Roman" w:eastAsia="仿宋_GB2312" w:cs="Times New Roman"/>
          <w:bCs/>
          <w:sz w:val="32"/>
          <w:szCs w:val="32"/>
        </w:rPr>
        <w:t>，遵循平等、自愿、公平和诚实信用的原则，双方就本</w:t>
      </w:r>
      <w:r>
        <w:rPr>
          <w:rFonts w:hint="default" w:ascii="Times New Roman" w:hAnsi="Times New Roman" w:eastAsia="仿宋_GB2312" w:cs="Times New Roman"/>
          <w:bCs/>
          <w:sz w:val="32"/>
          <w:szCs w:val="32"/>
          <w:lang w:eastAsia="zh-CN"/>
        </w:rPr>
        <w:t>项目</w:t>
      </w:r>
      <w:r>
        <w:rPr>
          <w:rFonts w:hint="eastAsia" w:eastAsia="仿宋_GB2312" w:cs="Times New Roman"/>
          <w:bCs/>
          <w:sz w:val="32"/>
          <w:szCs w:val="32"/>
          <w:lang w:eastAsia="zh-CN"/>
        </w:rPr>
        <w:t>检测</w:t>
      </w:r>
      <w:r>
        <w:rPr>
          <w:rFonts w:hint="default" w:ascii="Times New Roman" w:hAnsi="Times New Roman" w:eastAsia="仿宋_GB2312" w:cs="Times New Roman"/>
          <w:bCs/>
          <w:sz w:val="32"/>
          <w:szCs w:val="32"/>
        </w:rPr>
        <w:t>事项协商一致，订立本合同</w:t>
      </w:r>
      <w:r>
        <w:rPr>
          <w:rFonts w:hint="default" w:ascii="Times New Roman" w:hAnsi="Times New Roman" w:eastAsia="仿宋_GB2312" w:cs="Times New Roman"/>
          <w:bCs/>
          <w:sz w:val="32"/>
          <w:szCs w:val="32"/>
          <w:lang w:eastAsia="zh-CN"/>
        </w:rPr>
        <w:t>，以资共同遵照执行。</w:t>
      </w:r>
    </w:p>
    <w:p w14:paraId="3903BA4D">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项目概况</w:t>
      </w:r>
    </w:p>
    <w:p w14:paraId="21303D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sz w:val="32"/>
          <w:szCs w:val="32"/>
          <w:lang w:eastAsia="zh-CN"/>
        </w:rPr>
        <w:t>（一）项目</w:t>
      </w:r>
      <w:r>
        <w:rPr>
          <w:rFonts w:hint="default" w:ascii="Times New Roman" w:hAnsi="Times New Roman" w:eastAsia="仿宋_GB2312" w:cs="Times New Roman"/>
          <w:bCs/>
          <w:sz w:val="32"/>
          <w:szCs w:val="32"/>
        </w:rPr>
        <w:t>名称：</w:t>
      </w:r>
      <w:r>
        <w:rPr>
          <w:rFonts w:hint="default" w:ascii="Times New Roman" w:hAnsi="Times New Roman" w:eastAsia="仿宋_GB2312" w:cs="Times New Roman"/>
          <w:bCs/>
          <w:color w:val="auto"/>
          <w:sz w:val="32"/>
          <w:szCs w:val="32"/>
          <w:lang w:eastAsia="zh-CN"/>
        </w:rPr>
        <w:t>中心广场公厕及莞香印巷商铺电气线路检测</w:t>
      </w:r>
    </w:p>
    <w:p w14:paraId="27BCEA4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项目</w:t>
      </w:r>
    </w:p>
    <w:p w14:paraId="2C3171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eastAsia="zh-CN"/>
        </w:rPr>
        <w:t>（二）项目</w:t>
      </w:r>
      <w:r>
        <w:rPr>
          <w:rFonts w:hint="default" w:ascii="Times New Roman" w:hAnsi="Times New Roman" w:eastAsia="仿宋_GB2312" w:cs="Times New Roman"/>
          <w:bCs/>
          <w:sz w:val="32"/>
          <w:szCs w:val="32"/>
        </w:rPr>
        <w:t>地点：</w:t>
      </w:r>
      <w:r>
        <w:rPr>
          <w:rFonts w:hint="default" w:ascii="Times New Roman" w:hAnsi="Times New Roman" w:eastAsia="仿宋_GB2312" w:cs="Times New Roman"/>
          <w:bCs/>
          <w:sz w:val="32"/>
          <w:szCs w:val="32"/>
          <w:lang w:val="en-US" w:eastAsia="zh-CN"/>
        </w:rPr>
        <w:t xml:space="preserve">东莞市南城区    </w:t>
      </w:r>
    </w:p>
    <w:p w14:paraId="3A3ED0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sz w:val="32"/>
          <w:szCs w:val="32"/>
          <w:lang w:eastAsia="zh-CN"/>
        </w:rPr>
        <w:t>（三）</w:t>
      </w:r>
      <w:r>
        <w:rPr>
          <w:rFonts w:hint="default" w:ascii="Times New Roman" w:hAnsi="Times New Roman" w:eastAsia="仿宋_GB2312" w:cs="Times New Roman"/>
          <w:bCs/>
          <w:color w:val="auto"/>
          <w:sz w:val="32"/>
          <w:szCs w:val="32"/>
          <w:lang w:eastAsia="zh-CN"/>
        </w:rPr>
        <w:t>项目内容</w:t>
      </w:r>
      <w:r>
        <w:rPr>
          <w:rFonts w:hint="default" w:ascii="Times New Roman" w:hAnsi="Times New Roman" w:eastAsia="仿宋_GB2312" w:cs="Times New Roman"/>
          <w:bCs/>
          <w:color w:val="auto"/>
          <w:sz w:val="32"/>
          <w:szCs w:val="32"/>
          <w:lang w:val="en-US" w:eastAsia="zh-CN"/>
        </w:rPr>
        <w:t>及实施</w:t>
      </w:r>
      <w:r>
        <w:rPr>
          <w:rFonts w:hint="default" w:ascii="Times New Roman" w:hAnsi="Times New Roman" w:eastAsia="仿宋_GB2312" w:cs="Times New Roman"/>
          <w:bCs/>
          <w:color w:val="auto"/>
          <w:sz w:val="32"/>
          <w:szCs w:val="32"/>
        </w:rPr>
        <w:t>范围</w:t>
      </w:r>
    </w:p>
    <w:p w14:paraId="15E3BBF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eastAsia" w:eastAsia="仿宋_GB2312" w:cs="Times New Roman"/>
          <w:bCs/>
          <w:color w:val="auto"/>
          <w:sz w:val="32"/>
          <w:szCs w:val="32"/>
          <w:lang w:eastAsia="zh-CN"/>
        </w:rPr>
        <w:t>每年对</w:t>
      </w:r>
      <w:r>
        <w:rPr>
          <w:rFonts w:hint="default" w:ascii="Times New Roman" w:hAnsi="Times New Roman" w:eastAsia="仿宋_GB2312" w:cs="Times New Roman"/>
          <w:bCs/>
          <w:sz w:val="32"/>
          <w:szCs w:val="32"/>
          <w:lang w:val="en-US" w:eastAsia="zh-CN"/>
        </w:rPr>
        <w:t>中心广场区域内1</w:t>
      </w:r>
      <w:r>
        <w:rPr>
          <w:rFonts w:hint="eastAsia" w:eastAsia="仿宋_GB2312" w:cs="Times New Roman"/>
          <w:bCs/>
          <w:sz w:val="32"/>
          <w:szCs w:val="32"/>
          <w:lang w:val="en-US" w:eastAsia="zh-CN"/>
        </w:rPr>
        <w:t>0</w:t>
      </w:r>
      <w:r>
        <w:rPr>
          <w:rFonts w:hint="default" w:ascii="Times New Roman" w:hAnsi="Times New Roman" w:eastAsia="仿宋_GB2312" w:cs="Times New Roman"/>
          <w:bCs/>
          <w:sz w:val="32"/>
          <w:szCs w:val="32"/>
          <w:lang w:val="en-US" w:eastAsia="zh-CN"/>
        </w:rPr>
        <w:t>座公厕</w:t>
      </w:r>
      <w:r>
        <w:rPr>
          <w:rFonts w:hint="eastAsia" w:eastAsia="仿宋_GB2312" w:cs="Times New Roman"/>
          <w:bCs/>
          <w:sz w:val="32"/>
          <w:szCs w:val="32"/>
          <w:lang w:val="en-US" w:eastAsia="zh-CN"/>
        </w:rPr>
        <w:t>、莞香印巷</w:t>
      </w:r>
      <w:r>
        <w:rPr>
          <w:rFonts w:hint="default" w:ascii="Times New Roman" w:hAnsi="Times New Roman" w:eastAsia="仿宋_GB2312" w:cs="Times New Roman"/>
          <w:bCs/>
          <w:sz w:val="32"/>
          <w:szCs w:val="32"/>
          <w:lang w:val="en-US" w:eastAsia="zh-CN"/>
        </w:rPr>
        <w:t>商铺</w:t>
      </w:r>
      <w:r>
        <w:rPr>
          <w:rFonts w:hint="eastAsia" w:eastAsia="仿宋_GB2312" w:cs="Times New Roman"/>
          <w:bCs/>
          <w:sz w:val="32"/>
          <w:szCs w:val="32"/>
          <w:lang w:val="en-US" w:eastAsia="zh-CN"/>
        </w:rPr>
        <w:t>公共区域电气线路（主要是低压电房）进行</w:t>
      </w:r>
      <w:r>
        <w:rPr>
          <w:rFonts w:hint="eastAsia" w:eastAsia="仿宋_GB2312" w:cs="Times New Roman"/>
          <w:bCs/>
          <w:color w:val="auto"/>
          <w:sz w:val="32"/>
          <w:szCs w:val="32"/>
          <w:lang w:eastAsia="zh-CN"/>
        </w:rPr>
        <w:t>一次</w:t>
      </w:r>
      <w:r>
        <w:rPr>
          <w:rFonts w:hint="eastAsia" w:eastAsia="仿宋_GB2312" w:cs="Times New Roman"/>
          <w:bCs/>
          <w:sz w:val="32"/>
          <w:szCs w:val="32"/>
          <w:lang w:val="en-US" w:eastAsia="zh-CN"/>
        </w:rPr>
        <w:t>检测，参照《带电设备红外诊断应用规范》（DL/T664-2016）、《建筑电气防火检测技术规范》（SZDB/Z139-2015）等相关规范标准执行，</w:t>
      </w:r>
      <w:r>
        <w:rPr>
          <w:rFonts w:hint="default" w:ascii="Times New Roman" w:hAnsi="Times New Roman" w:eastAsia="仿宋_GB2312" w:cs="Times New Roman"/>
          <w:bCs/>
          <w:sz w:val="32"/>
          <w:szCs w:val="32"/>
          <w:lang w:val="en-US" w:eastAsia="zh-CN"/>
        </w:rPr>
        <w:t>内容包含：</w:t>
      </w:r>
    </w:p>
    <w:tbl>
      <w:tblPr>
        <w:tblStyle w:val="7"/>
        <w:tblW w:w="88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3408"/>
        <w:gridCol w:w="2838"/>
        <w:gridCol w:w="1533"/>
      </w:tblGrid>
      <w:tr w14:paraId="00521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73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bookmarkStart w:id="1" w:name="_Toc46391569"/>
            <w:bookmarkStart w:id="2" w:name="_Toc46392684"/>
            <w:bookmarkStart w:id="3" w:name="_Toc46740436"/>
            <w:r>
              <w:rPr>
                <w:rFonts w:hint="default" w:ascii="Times New Roman" w:hAnsi="Times New Roman" w:eastAsia="仿宋_GB2312" w:cs="Times New Roman"/>
                <w:i w:val="0"/>
                <w:iCs w:val="0"/>
                <w:color w:val="000000"/>
                <w:kern w:val="0"/>
                <w:sz w:val="32"/>
                <w:szCs w:val="32"/>
                <w:u w:val="none"/>
                <w:lang w:val="en-US" w:eastAsia="zh-CN" w:bidi="ar"/>
              </w:rPr>
              <w:t>序号</w:t>
            </w:r>
          </w:p>
        </w:tc>
        <w:tc>
          <w:tcPr>
            <w:tcW w:w="3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76E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检测区域</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5B6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检测项目</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93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数量</w:t>
            </w:r>
          </w:p>
        </w:tc>
      </w:tr>
      <w:tr w14:paraId="2F7B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7C9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91F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中心广场区域公共卫生间（10个）</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1D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电源进线(主线路)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3A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14</w:t>
            </w:r>
          </w:p>
        </w:tc>
      </w:tr>
      <w:tr w14:paraId="7E4D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F04E0">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F81A5">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43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支路分线线路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235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85</w:t>
            </w:r>
          </w:p>
        </w:tc>
      </w:tr>
      <w:tr w14:paraId="59AA8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E8B16">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15292">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C1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总控制开关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BB64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14</w:t>
            </w:r>
          </w:p>
        </w:tc>
      </w:tr>
      <w:tr w14:paraId="7D9FC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DF5DA">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7930F">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A5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分控制开关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79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85</w:t>
            </w:r>
          </w:p>
        </w:tc>
      </w:tr>
      <w:tr w14:paraId="24D9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A62A5">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CA9AE">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87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插座</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D3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31</w:t>
            </w:r>
          </w:p>
        </w:tc>
      </w:tr>
      <w:tr w14:paraId="5460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438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34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807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莞香印巷商铺</w:t>
            </w:r>
            <w:r>
              <w:rPr>
                <w:rFonts w:hint="eastAsia" w:eastAsia="仿宋_GB2312" w:cs="Times New Roman"/>
                <w:i w:val="0"/>
                <w:iCs w:val="0"/>
                <w:color w:val="000000"/>
                <w:kern w:val="0"/>
                <w:sz w:val="32"/>
                <w:szCs w:val="32"/>
                <w:u w:val="none"/>
                <w:lang w:val="en-US" w:eastAsia="zh-CN" w:bidi="ar"/>
              </w:rPr>
              <w:t>公共区域</w:t>
            </w:r>
            <w:r>
              <w:rPr>
                <w:rFonts w:hint="default" w:ascii="Times New Roman" w:hAnsi="Times New Roman" w:eastAsia="仿宋_GB2312" w:cs="Times New Roman"/>
                <w:i w:val="0"/>
                <w:iCs w:val="0"/>
                <w:color w:val="000000"/>
                <w:kern w:val="0"/>
                <w:sz w:val="32"/>
                <w:szCs w:val="32"/>
                <w:u w:val="none"/>
                <w:lang w:val="en-US" w:eastAsia="zh-CN" w:bidi="ar"/>
              </w:rPr>
              <w:t>（低压电房6个）</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7B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电源进线(主线路)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68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46</w:t>
            </w:r>
          </w:p>
        </w:tc>
      </w:tr>
      <w:tr w14:paraId="6772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FE73D">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1E206">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7CE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支路分线线路</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31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114</w:t>
            </w:r>
          </w:p>
        </w:tc>
      </w:tr>
      <w:tr w14:paraId="259A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42D51">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7DF24">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43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总控制开关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0E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46</w:t>
            </w:r>
          </w:p>
        </w:tc>
      </w:tr>
      <w:tr w14:paraId="696BA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F64A7">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641C6">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6D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分控制开关</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9D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114</w:t>
            </w:r>
          </w:p>
        </w:tc>
      </w:tr>
      <w:tr w14:paraId="2CCBE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84B8E">
            <w:pPr>
              <w:jc w:val="center"/>
              <w:rPr>
                <w:rFonts w:hint="default" w:ascii="Times New Roman" w:hAnsi="Times New Roman" w:eastAsia="仿宋_GB2312" w:cs="Times New Roman"/>
                <w:i w:val="0"/>
                <w:iCs w:val="0"/>
                <w:color w:val="000000"/>
                <w:sz w:val="32"/>
                <w:szCs w:val="32"/>
                <w:u w:val="none"/>
              </w:rPr>
            </w:pPr>
          </w:p>
        </w:tc>
        <w:tc>
          <w:tcPr>
            <w:tcW w:w="34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9AD4E">
            <w:pPr>
              <w:jc w:val="center"/>
              <w:rPr>
                <w:rFonts w:hint="default" w:ascii="Times New Roman" w:hAnsi="Times New Roman" w:eastAsia="仿宋_GB2312" w:cs="Times New Roman"/>
                <w:i w:val="0"/>
                <w:iCs w:val="0"/>
                <w:color w:val="000000"/>
                <w:sz w:val="32"/>
                <w:szCs w:val="32"/>
                <w:u w:val="none"/>
              </w:rPr>
            </w:pP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E40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插座</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B1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w:t>
            </w:r>
          </w:p>
        </w:tc>
      </w:tr>
      <w:bookmarkEnd w:id="1"/>
      <w:bookmarkEnd w:id="2"/>
      <w:bookmarkEnd w:id="3"/>
    </w:tbl>
    <w:p w14:paraId="20BBBE81">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Chars="200" w:firstLine="320" w:firstLineChars="100"/>
        <w:jc w:val="left"/>
        <w:textAlignment w:val="auto"/>
        <w:rPr>
          <w:rFonts w:hint="default"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Cs/>
          <w:color w:val="000000" w:themeColor="text1"/>
          <w:kern w:val="2"/>
          <w:sz w:val="32"/>
          <w:szCs w:val="32"/>
          <w:lang w:val="en-US" w:eastAsia="zh-CN" w:bidi="ar-SA"/>
          <w14:textFill>
            <w14:solidFill>
              <w14:schemeClr w14:val="tx1"/>
            </w14:solidFill>
          </w14:textFill>
        </w:rPr>
        <w:t>二、项目费用</w:t>
      </w:r>
    </w:p>
    <w:p w14:paraId="5071E18A">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auto"/>
          <w:kern w:val="2"/>
          <w:sz w:val="32"/>
          <w:szCs w:val="32"/>
          <w:u w:val="none"/>
          <w:lang w:val="en-US" w:eastAsia="zh-CN" w:bidi="ar-SA"/>
        </w:rPr>
      </w:pPr>
      <w:r>
        <w:rPr>
          <w:rFonts w:hint="eastAsia" w:eastAsia="仿宋_GB2312" w:cs="Times New Roman"/>
          <w:bCs/>
          <w:color w:val="auto"/>
          <w:kern w:val="2"/>
          <w:sz w:val="32"/>
          <w:szCs w:val="32"/>
          <w:lang w:val="en-US" w:eastAsia="zh-CN" w:bidi="ar-SA"/>
        </w:rPr>
        <w:t>（一）</w:t>
      </w:r>
      <w:r>
        <w:rPr>
          <w:rFonts w:hint="default" w:ascii="Times New Roman" w:hAnsi="Times New Roman" w:eastAsia="仿宋_GB2312" w:cs="Times New Roman"/>
          <w:bCs/>
          <w:color w:val="auto"/>
          <w:kern w:val="2"/>
          <w:sz w:val="32"/>
          <w:szCs w:val="32"/>
          <w:lang w:val="en-US" w:eastAsia="zh-CN" w:bidi="ar-SA"/>
        </w:rPr>
        <w:t>项目总</w:t>
      </w:r>
      <w:r>
        <w:rPr>
          <w:rFonts w:hint="eastAsia" w:eastAsia="仿宋_GB2312" w:cs="Times New Roman"/>
          <w:bCs/>
          <w:color w:val="auto"/>
          <w:kern w:val="2"/>
          <w:sz w:val="32"/>
          <w:szCs w:val="32"/>
          <w:lang w:val="en-US" w:eastAsia="zh-CN" w:bidi="ar-SA"/>
        </w:rPr>
        <w:t>检测</w:t>
      </w:r>
      <w:r>
        <w:rPr>
          <w:rFonts w:hint="default" w:ascii="Times New Roman" w:hAnsi="Times New Roman" w:eastAsia="仿宋_GB2312" w:cs="Times New Roman"/>
          <w:bCs/>
          <w:color w:val="auto"/>
          <w:kern w:val="2"/>
          <w:sz w:val="32"/>
          <w:szCs w:val="32"/>
          <w:lang w:val="en-US" w:eastAsia="zh-CN" w:bidi="ar-SA"/>
        </w:rPr>
        <w:t>费用</w:t>
      </w:r>
      <w:r>
        <w:rPr>
          <w:rFonts w:hint="eastAsia" w:eastAsia="仿宋_GB2312" w:cs="Times New Roman"/>
          <w:bCs/>
          <w:color w:val="auto"/>
          <w:kern w:val="2"/>
          <w:sz w:val="32"/>
          <w:szCs w:val="32"/>
          <w:lang w:val="en-US" w:eastAsia="zh-CN" w:bidi="ar-SA"/>
        </w:rPr>
        <w:t>最高限价</w:t>
      </w:r>
      <w:r>
        <w:rPr>
          <w:rFonts w:hint="default" w:ascii="Times New Roman" w:hAnsi="Times New Roman" w:eastAsia="仿宋_GB2312" w:cs="Times New Roman"/>
          <w:bCs/>
          <w:color w:val="auto"/>
          <w:kern w:val="2"/>
          <w:sz w:val="32"/>
          <w:szCs w:val="32"/>
          <w:lang w:val="en-US" w:eastAsia="zh-CN" w:bidi="ar-SA"/>
        </w:rPr>
        <w:t>为：</w:t>
      </w:r>
      <w:r>
        <w:rPr>
          <w:rFonts w:hint="eastAsia" w:eastAsia="仿宋_GB2312" w:cs="Times New Roman"/>
          <w:b w:val="0"/>
          <w:bCs/>
          <w:color w:val="auto"/>
          <w:kern w:val="2"/>
          <w:sz w:val="32"/>
          <w:szCs w:val="32"/>
          <w:u w:val="single"/>
          <w:lang w:val="en-US" w:eastAsia="zh-CN" w:bidi="ar-SA"/>
        </w:rPr>
        <w:t xml:space="preserve">           </w:t>
      </w:r>
      <w:r>
        <w:rPr>
          <w:rFonts w:hint="eastAsia" w:eastAsia="仿宋_GB2312" w:cs="Times New Roman"/>
          <w:b w:val="0"/>
          <w:bCs/>
          <w:color w:val="auto"/>
          <w:kern w:val="2"/>
          <w:sz w:val="32"/>
          <w:szCs w:val="32"/>
          <w:u w:val="none"/>
          <w:lang w:val="en-US" w:eastAsia="zh-CN" w:bidi="ar-SA"/>
        </w:rPr>
        <w:t>元</w:t>
      </w:r>
      <w:r>
        <w:rPr>
          <w:rFonts w:hint="default" w:ascii="Times New Roman" w:hAnsi="Times New Roman" w:eastAsia="仿宋_GB2312" w:cs="Times New Roman"/>
          <w:b w:val="0"/>
          <w:bCs/>
          <w:color w:val="auto"/>
          <w:kern w:val="2"/>
          <w:sz w:val="32"/>
          <w:szCs w:val="32"/>
          <w:u w:val="none"/>
          <w:lang w:val="en-US" w:eastAsia="zh-CN" w:bidi="ar-SA"/>
        </w:rPr>
        <w:t>（大写：人民币</w:t>
      </w:r>
      <w:r>
        <w:rPr>
          <w:rFonts w:hint="eastAsia" w:eastAsia="仿宋_GB2312" w:cs="Times New Roman"/>
          <w:b w:val="0"/>
          <w:bCs/>
          <w:color w:val="auto"/>
          <w:kern w:val="2"/>
          <w:sz w:val="32"/>
          <w:szCs w:val="32"/>
          <w:u w:val="single"/>
          <w:lang w:val="en-US" w:eastAsia="zh-CN" w:bidi="ar-SA"/>
        </w:rPr>
        <w:t xml:space="preserve">            </w:t>
      </w:r>
      <w:r>
        <w:rPr>
          <w:rFonts w:hint="default" w:ascii="Times New Roman" w:hAnsi="Times New Roman" w:eastAsia="仿宋_GB2312" w:cs="Times New Roman"/>
          <w:b w:val="0"/>
          <w:bCs/>
          <w:color w:val="auto"/>
          <w:kern w:val="2"/>
          <w:sz w:val="32"/>
          <w:szCs w:val="32"/>
          <w:u w:val="none"/>
          <w:lang w:val="en-US" w:eastAsia="zh-CN" w:bidi="ar-SA"/>
        </w:rPr>
        <w:t>）</w:t>
      </w:r>
      <w:r>
        <w:rPr>
          <w:rFonts w:hint="eastAsia" w:eastAsia="仿宋_GB2312" w:cs="Times New Roman"/>
          <w:b w:val="0"/>
          <w:bCs/>
          <w:color w:val="auto"/>
          <w:kern w:val="2"/>
          <w:sz w:val="32"/>
          <w:szCs w:val="32"/>
          <w:u w:val="none"/>
          <w:lang w:val="en-US" w:eastAsia="zh-CN" w:bidi="ar-SA"/>
        </w:rPr>
        <w:t>。</w:t>
      </w:r>
      <w:r>
        <w:rPr>
          <w:rFonts w:hint="default" w:ascii="Times New Roman" w:hAnsi="Times New Roman" w:eastAsia="仿宋_GB2312" w:cs="Times New Roman"/>
          <w:b w:val="0"/>
          <w:bCs/>
          <w:color w:val="auto"/>
          <w:kern w:val="2"/>
          <w:sz w:val="32"/>
          <w:szCs w:val="32"/>
          <w:u w:val="none"/>
          <w:lang w:val="en-US" w:eastAsia="zh-CN" w:bidi="ar-SA"/>
        </w:rPr>
        <w:t>该金额已包含检测</w:t>
      </w:r>
      <w:r>
        <w:rPr>
          <w:rFonts w:hint="eastAsia" w:eastAsia="仿宋_GB2312" w:cs="Times New Roman"/>
          <w:b w:val="0"/>
          <w:bCs/>
          <w:color w:val="auto"/>
          <w:kern w:val="2"/>
          <w:sz w:val="32"/>
          <w:szCs w:val="32"/>
          <w:u w:val="none"/>
          <w:lang w:val="en-US" w:eastAsia="zh-CN" w:bidi="ar-SA"/>
        </w:rPr>
        <w:t>费、人工费、交通费、设备使用费、</w:t>
      </w:r>
      <w:r>
        <w:rPr>
          <w:rFonts w:hint="default" w:ascii="Times New Roman" w:hAnsi="Times New Roman" w:eastAsia="仿宋_GB2312" w:cs="Times New Roman"/>
          <w:b w:val="0"/>
          <w:bCs/>
          <w:color w:val="auto"/>
          <w:kern w:val="2"/>
          <w:sz w:val="32"/>
          <w:szCs w:val="32"/>
          <w:u w:val="none"/>
          <w:lang w:val="en-US" w:eastAsia="zh-CN" w:bidi="ar-SA"/>
        </w:rPr>
        <w:t>税费及合同实施过程中不可预见费用等</w:t>
      </w:r>
      <w:r>
        <w:rPr>
          <w:rFonts w:hint="eastAsia" w:eastAsia="仿宋_GB2312" w:cs="Times New Roman"/>
          <w:b w:val="0"/>
          <w:bCs/>
          <w:color w:val="auto"/>
          <w:kern w:val="2"/>
          <w:sz w:val="32"/>
          <w:szCs w:val="32"/>
          <w:u w:val="none"/>
          <w:lang w:val="en-US" w:eastAsia="zh-CN" w:bidi="ar-SA"/>
        </w:rPr>
        <w:t>，按实结算（不超过最高限价）</w:t>
      </w:r>
      <w:r>
        <w:rPr>
          <w:rFonts w:hint="default" w:ascii="Times New Roman" w:hAnsi="Times New Roman" w:eastAsia="仿宋_GB2312" w:cs="Times New Roman"/>
          <w:b w:val="0"/>
          <w:bCs/>
          <w:color w:val="auto"/>
          <w:kern w:val="2"/>
          <w:sz w:val="32"/>
          <w:szCs w:val="32"/>
          <w:u w:val="none"/>
          <w:lang w:val="en-US" w:eastAsia="zh-CN" w:bidi="ar-SA"/>
        </w:rPr>
        <w:t>。</w:t>
      </w:r>
    </w:p>
    <w:p w14:paraId="674BC118">
      <w:pPr>
        <w:pStyle w:val="10"/>
        <w:keepNext w:val="0"/>
        <w:keepLines w:val="0"/>
        <w:pageBreakBefore w:val="0"/>
        <w:kinsoku/>
        <w:wordWrap/>
        <w:overflowPunct/>
        <w:topLinePunct w:val="0"/>
        <w:autoSpaceDE/>
        <w:autoSpaceDN/>
        <w:bidi w:val="0"/>
        <w:adjustRightInd/>
        <w:snapToGrid/>
        <w:spacing w:before="0" w:after="0" w:line="580" w:lineRule="exact"/>
        <w:ind w:firstLine="320" w:firstLineChars="100"/>
        <w:textAlignment w:val="auto"/>
        <w:rPr>
          <w:rFonts w:hint="default" w:ascii="Times New Roman" w:hAnsi="Times New Roman" w:eastAsia="仿宋_GB2312" w:cs="Times New Roman"/>
          <w:bCs/>
          <w:color w:val="auto"/>
          <w:spacing w:val="0"/>
          <w:kern w:val="2"/>
          <w:sz w:val="32"/>
          <w:szCs w:val="32"/>
          <w:lang w:val="en-US" w:eastAsia="zh-CN" w:bidi="ar-SA"/>
        </w:rPr>
      </w:pPr>
      <w:r>
        <w:rPr>
          <w:rFonts w:hint="default" w:ascii="Times New Roman" w:hAnsi="Times New Roman" w:eastAsia="仿宋_GB2312" w:cs="Times New Roman"/>
          <w:bCs/>
          <w:color w:val="auto"/>
          <w:spacing w:val="0"/>
          <w:kern w:val="2"/>
          <w:sz w:val="32"/>
          <w:szCs w:val="32"/>
          <w:lang w:val="en-US" w:eastAsia="zh-CN" w:bidi="ar-SA"/>
        </w:rPr>
        <w:t>（</w:t>
      </w:r>
      <w:r>
        <w:rPr>
          <w:rFonts w:hint="eastAsia" w:ascii="Times New Roman" w:hAnsi="Times New Roman" w:eastAsia="仿宋_GB2312" w:cs="Times New Roman"/>
          <w:bCs/>
          <w:color w:val="auto"/>
          <w:spacing w:val="0"/>
          <w:kern w:val="2"/>
          <w:sz w:val="32"/>
          <w:szCs w:val="32"/>
          <w:lang w:val="en-US" w:eastAsia="zh-CN" w:bidi="ar-SA"/>
        </w:rPr>
        <w:t>二</w:t>
      </w:r>
      <w:r>
        <w:rPr>
          <w:rFonts w:hint="default" w:ascii="Times New Roman" w:hAnsi="Times New Roman" w:eastAsia="仿宋_GB2312" w:cs="Times New Roman"/>
          <w:bCs/>
          <w:color w:val="auto"/>
          <w:spacing w:val="0"/>
          <w:kern w:val="2"/>
          <w:sz w:val="32"/>
          <w:szCs w:val="32"/>
          <w:lang w:val="en-US" w:eastAsia="zh-CN" w:bidi="ar-SA"/>
        </w:rPr>
        <w:t xml:space="preserve">）乙方收款账户相关信息                       </w:t>
      </w:r>
    </w:p>
    <w:p w14:paraId="75987F3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pacing w:val="0"/>
          <w:kern w:val="2"/>
          <w:sz w:val="32"/>
          <w:szCs w:val="32"/>
          <w:lang w:val="en-US" w:eastAsia="zh-CN" w:bidi="ar-SA"/>
        </w:rPr>
      </w:pPr>
      <w:r>
        <w:rPr>
          <w:rFonts w:hint="default" w:ascii="Times New Roman" w:hAnsi="Times New Roman" w:eastAsia="仿宋_GB2312" w:cs="Times New Roman"/>
          <w:bCs/>
          <w:color w:val="auto"/>
          <w:spacing w:val="0"/>
          <w:kern w:val="2"/>
          <w:sz w:val="32"/>
          <w:szCs w:val="32"/>
          <w:lang w:val="en-US" w:eastAsia="zh-CN" w:bidi="ar-SA"/>
        </w:rPr>
        <w:t>开户名称：</w:t>
      </w:r>
    </w:p>
    <w:p w14:paraId="7DA395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Cs/>
          <w:color w:val="auto"/>
          <w:spacing w:val="0"/>
          <w:kern w:val="2"/>
          <w:sz w:val="32"/>
          <w:szCs w:val="32"/>
          <w:lang w:val="en-US" w:eastAsia="zh-Hans" w:bidi="ar-SA"/>
        </w:rPr>
      </w:pPr>
      <w:r>
        <w:rPr>
          <w:rFonts w:hint="default" w:ascii="Times New Roman" w:hAnsi="Times New Roman" w:eastAsia="仿宋_GB2312" w:cs="Times New Roman"/>
          <w:bCs/>
          <w:color w:val="auto"/>
          <w:spacing w:val="0"/>
          <w:kern w:val="2"/>
          <w:sz w:val="32"/>
          <w:szCs w:val="32"/>
          <w:lang w:val="en-US" w:eastAsia="zh-Hans" w:bidi="ar-SA"/>
        </w:rPr>
        <w:t xml:space="preserve">开户银行：                   </w:t>
      </w:r>
      <w:r>
        <w:rPr>
          <w:rFonts w:hint="default" w:ascii="Times New Roman" w:hAnsi="Times New Roman" w:eastAsia="仿宋_GB2312" w:cs="Times New Roman"/>
          <w:bCs/>
          <w:color w:val="auto"/>
          <w:spacing w:val="0"/>
          <w:kern w:val="2"/>
          <w:sz w:val="32"/>
          <w:szCs w:val="32"/>
          <w:lang w:val="en-US" w:eastAsia="zh-CN" w:bidi="ar-SA"/>
        </w:rPr>
        <w:t xml:space="preserve">        </w:t>
      </w:r>
      <w:r>
        <w:rPr>
          <w:rFonts w:hint="default" w:ascii="Times New Roman" w:hAnsi="Times New Roman" w:eastAsia="仿宋_GB2312" w:cs="Times New Roman"/>
          <w:bCs/>
          <w:color w:val="auto"/>
          <w:spacing w:val="0"/>
          <w:kern w:val="2"/>
          <w:sz w:val="32"/>
          <w:szCs w:val="32"/>
          <w:lang w:val="en-US" w:eastAsia="zh-Hans" w:bidi="ar-SA"/>
        </w:rPr>
        <w:t xml:space="preserve">                     </w:t>
      </w:r>
    </w:p>
    <w:p w14:paraId="20DB198D">
      <w:pPr>
        <w:pStyle w:val="11"/>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Cs/>
          <w:color w:val="auto"/>
          <w:spacing w:val="0"/>
          <w:kern w:val="2"/>
          <w:sz w:val="32"/>
          <w:szCs w:val="32"/>
          <w:lang w:val="en-US" w:eastAsia="zh-Hans" w:bidi="ar-SA"/>
        </w:rPr>
      </w:pPr>
      <w:r>
        <w:rPr>
          <w:rFonts w:hint="default" w:ascii="Times New Roman" w:hAnsi="Times New Roman" w:eastAsia="仿宋_GB2312" w:cs="Times New Roman"/>
          <w:bCs/>
          <w:color w:val="auto"/>
          <w:spacing w:val="0"/>
          <w:kern w:val="2"/>
          <w:sz w:val="32"/>
          <w:szCs w:val="32"/>
          <w:lang w:val="en-US" w:eastAsia="zh-Hans" w:bidi="ar-SA"/>
        </w:rPr>
        <w:t>银行账户：</w:t>
      </w:r>
    </w:p>
    <w:p w14:paraId="495CB7F8">
      <w:pPr>
        <w:pStyle w:val="11"/>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Cs/>
          <w:color w:val="auto"/>
          <w:spacing w:val="0"/>
          <w:kern w:val="2"/>
          <w:sz w:val="32"/>
          <w:szCs w:val="32"/>
          <w:lang w:val="en-US" w:eastAsia="zh-Hans" w:bidi="ar-SA"/>
        </w:rPr>
      </w:pPr>
      <w:r>
        <w:rPr>
          <w:rFonts w:hint="eastAsia" w:ascii="Times New Roman" w:hAnsi="Times New Roman" w:eastAsia="仿宋_GB2312" w:cs="Times New Roman"/>
          <w:bCs/>
          <w:color w:val="auto"/>
          <w:spacing w:val="0"/>
          <w:kern w:val="2"/>
          <w:sz w:val="32"/>
          <w:szCs w:val="32"/>
          <w:lang w:val="en-US" w:eastAsia="zh-CN" w:bidi="ar-SA"/>
        </w:rPr>
        <w:t>注：</w:t>
      </w:r>
      <w:r>
        <w:rPr>
          <w:rFonts w:hint="default" w:ascii="Times New Roman" w:hAnsi="Times New Roman" w:eastAsia="仿宋_GB2312" w:cs="Times New Roman"/>
          <w:bCs/>
          <w:color w:val="auto"/>
          <w:spacing w:val="0"/>
          <w:kern w:val="2"/>
          <w:sz w:val="32"/>
          <w:szCs w:val="32"/>
          <w:lang w:val="en-US" w:eastAsia="zh-Hans" w:bidi="ar-SA"/>
        </w:rPr>
        <w:t>乙方确认合同签署的银行账户为本合同唯一收款账户，如因账户信息有误导致的汇款风险，由乙方自行承担。</w:t>
      </w:r>
    </w:p>
    <w:p w14:paraId="7D931941">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Cs/>
          <w:color w:val="auto"/>
          <w:kern w:val="2"/>
          <w:sz w:val="32"/>
          <w:szCs w:val="32"/>
          <w:lang w:val="en-US" w:eastAsia="zh-CN" w:bidi="ar-SA"/>
        </w:rPr>
      </w:pPr>
      <w:r>
        <w:rPr>
          <w:rFonts w:hint="default" w:ascii="Times New Roman" w:hAnsi="Times New Roman" w:eastAsia="仿宋_GB2312" w:cs="Times New Roman"/>
          <w:bCs/>
          <w:color w:val="auto"/>
          <w:kern w:val="2"/>
          <w:sz w:val="32"/>
          <w:szCs w:val="32"/>
          <w:u w:val="none"/>
          <w:lang w:val="en-US" w:eastAsia="zh-CN" w:bidi="ar-SA"/>
        </w:rPr>
        <w:t>三、项目实施时间：自</w:t>
      </w:r>
      <w:r>
        <w:rPr>
          <w:rFonts w:hint="eastAsia" w:eastAsia="仿宋_GB2312" w:cs="Times New Roman"/>
          <w:bCs/>
          <w:color w:val="auto"/>
          <w:kern w:val="2"/>
          <w:sz w:val="32"/>
          <w:szCs w:val="32"/>
          <w:u w:val="none"/>
          <w:lang w:val="en-US" w:eastAsia="zh-CN" w:bidi="ar-SA"/>
        </w:rPr>
        <w:t>2026</w:t>
      </w:r>
      <w:r>
        <w:rPr>
          <w:rFonts w:hint="default" w:ascii="Times New Roman" w:hAnsi="Times New Roman" w:eastAsia="仿宋_GB2312" w:cs="Times New Roman"/>
          <w:bCs/>
          <w:color w:val="auto"/>
          <w:kern w:val="2"/>
          <w:sz w:val="32"/>
          <w:szCs w:val="32"/>
          <w:u w:val="none"/>
          <w:lang w:val="en-US" w:eastAsia="zh-CN" w:bidi="ar-SA"/>
        </w:rPr>
        <w:t>年</w:t>
      </w:r>
      <w:r>
        <w:rPr>
          <w:rFonts w:hint="eastAsia" w:eastAsia="仿宋_GB2312" w:cs="Times New Roman"/>
          <w:bCs/>
          <w:color w:val="auto"/>
          <w:kern w:val="2"/>
          <w:sz w:val="32"/>
          <w:szCs w:val="32"/>
          <w:u w:val="none"/>
          <w:lang w:val="en-US" w:eastAsia="zh-CN" w:bidi="ar-SA"/>
        </w:rPr>
        <w:t>XX</w:t>
      </w:r>
      <w:r>
        <w:rPr>
          <w:rFonts w:hint="default" w:ascii="Times New Roman" w:hAnsi="Times New Roman" w:eastAsia="仿宋_GB2312" w:cs="Times New Roman"/>
          <w:bCs/>
          <w:color w:val="auto"/>
          <w:kern w:val="2"/>
          <w:sz w:val="32"/>
          <w:szCs w:val="32"/>
          <w:u w:val="none"/>
          <w:lang w:val="en-US" w:eastAsia="zh-CN" w:bidi="ar-SA"/>
        </w:rPr>
        <w:t>月</w:t>
      </w:r>
      <w:r>
        <w:rPr>
          <w:rFonts w:hint="eastAsia" w:eastAsia="仿宋_GB2312" w:cs="Times New Roman"/>
          <w:bCs/>
          <w:color w:val="auto"/>
          <w:kern w:val="2"/>
          <w:sz w:val="32"/>
          <w:szCs w:val="32"/>
          <w:u w:val="none"/>
          <w:lang w:val="en-US" w:eastAsia="zh-CN" w:bidi="ar-SA"/>
        </w:rPr>
        <w:t>XX</w:t>
      </w:r>
      <w:r>
        <w:rPr>
          <w:rFonts w:hint="default" w:ascii="Times New Roman" w:hAnsi="Times New Roman" w:eastAsia="仿宋_GB2312" w:cs="Times New Roman"/>
          <w:bCs/>
          <w:color w:val="auto"/>
          <w:kern w:val="2"/>
          <w:sz w:val="32"/>
          <w:szCs w:val="32"/>
          <w:u w:val="none"/>
          <w:lang w:val="en-US" w:eastAsia="zh-CN" w:bidi="ar-SA"/>
        </w:rPr>
        <w:t>日至</w:t>
      </w:r>
      <w:r>
        <w:rPr>
          <w:rFonts w:hint="eastAsia" w:eastAsia="仿宋_GB2312" w:cs="Times New Roman"/>
          <w:bCs/>
          <w:color w:val="auto"/>
          <w:kern w:val="2"/>
          <w:sz w:val="32"/>
          <w:szCs w:val="32"/>
          <w:u w:val="none"/>
          <w:lang w:val="en-US" w:eastAsia="zh-CN" w:bidi="ar-SA"/>
        </w:rPr>
        <w:t>2027</w:t>
      </w:r>
      <w:r>
        <w:rPr>
          <w:rFonts w:hint="default" w:ascii="Times New Roman" w:hAnsi="Times New Roman" w:eastAsia="仿宋_GB2312" w:cs="Times New Roman"/>
          <w:bCs/>
          <w:color w:val="auto"/>
          <w:kern w:val="2"/>
          <w:sz w:val="32"/>
          <w:szCs w:val="32"/>
          <w:u w:val="none"/>
          <w:lang w:val="en-US" w:eastAsia="zh-CN" w:bidi="ar-SA"/>
        </w:rPr>
        <w:t>年</w:t>
      </w:r>
      <w:r>
        <w:rPr>
          <w:rFonts w:hint="eastAsia" w:eastAsia="仿宋_GB2312" w:cs="Times New Roman"/>
          <w:bCs/>
          <w:color w:val="auto"/>
          <w:kern w:val="2"/>
          <w:sz w:val="32"/>
          <w:szCs w:val="32"/>
          <w:u w:val="none"/>
          <w:lang w:val="en-US" w:eastAsia="zh-CN" w:bidi="ar-SA"/>
        </w:rPr>
        <w:t>XX</w:t>
      </w:r>
      <w:r>
        <w:rPr>
          <w:rFonts w:hint="default" w:ascii="Times New Roman" w:hAnsi="Times New Roman" w:eastAsia="仿宋_GB2312" w:cs="Times New Roman"/>
          <w:bCs/>
          <w:color w:val="auto"/>
          <w:kern w:val="2"/>
          <w:sz w:val="32"/>
          <w:szCs w:val="32"/>
          <w:u w:val="none"/>
          <w:lang w:val="en-US" w:eastAsia="zh-CN" w:bidi="ar-SA"/>
        </w:rPr>
        <w:t>月</w:t>
      </w:r>
      <w:r>
        <w:rPr>
          <w:rFonts w:hint="eastAsia" w:eastAsia="仿宋_GB2312" w:cs="Times New Roman"/>
          <w:bCs/>
          <w:color w:val="auto"/>
          <w:kern w:val="2"/>
          <w:sz w:val="32"/>
          <w:szCs w:val="32"/>
          <w:u w:val="none"/>
          <w:lang w:val="en-US" w:eastAsia="zh-CN" w:bidi="ar-SA"/>
        </w:rPr>
        <w:t>XX</w:t>
      </w:r>
      <w:r>
        <w:rPr>
          <w:rFonts w:hint="default" w:ascii="Times New Roman" w:hAnsi="Times New Roman" w:eastAsia="仿宋_GB2312" w:cs="Times New Roman"/>
          <w:bCs/>
          <w:color w:val="auto"/>
          <w:kern w:val="2"/>
          <w:sz w:val="32"/>
          <w:szCs w:val="32"/>
          <w:u w:val="none"/>
          <w:lang w:val="en-US" w:eastAsia="zh-CN" w:bidi="ar-SA"/>
        </w:rPr>
        <w:t>日</w:t>
      </w:r>
      <w:r>
        <w:rPr>
          <w:rFonts w:hint="default" w:ascii="Times New Roman" w:hAnsi="Times New Roman" w:eastAsia="仿宋_GB2312" w:cs="Times New Roman"/>
          <w:bCs/>
          <w:color w:val="auto"/>
          <w:kern w:val="2"/>
          <w:sz w:val="32"/>
          <w:szCs w:val="32"/>
          <w:lang w:val="en-US" w:eastAsia="zh-CN" w:bidi="ar-SA"/>
        </w:rPr>
        <w:t>止，</w:t>
      </w:r>
      <w:r>
        <w:rPr>
          <w:rFonts w:hint="eastAsia" w:eastAsia="仿宋_GB2312" w:cs="Times New Roman"/>
          <w:bCs/>
          <w:color w:val="auto"/>
          <w:kern w:val="2"/>
          <w:sz w:val="32"/>
          <w:szCs w:val="32"/>
          <w:lang w:val="en-US" w:eastAsia="zh-CN" w:bidi="ar-SA"/>
        </w:rPr>
        <w:t>2026年、2027年各检测一次（两次检测时间间隔不少于10个月），</w:t>
      </w:r>
      <w:r>
        <w:rPr>
          <w:rFonts w:hint="default" w:ascii="Times New Roman" w:hAnsi="Times New Roman" w:eastAsia="仿宋_GB2312" w:cs="Times New Roman"/>
          <w:bCs/>
          <w:color w:val="auto"/>
          <w:kern w:val="2"/>
          <w:sz w:val="32"/>
          <w:szCs w:val="32"/>
          <w:lang w:val="en-US" w:eastAsia="zh-CN" w:bidi="ar-SA"/>
        </w:rPr>
        <w:t>如遇阴、雨天不能检测时，项目实施时间可顺延。</w:t>
      </w:r>
    </w:p>
    <w:p w14:paraId="5203D4EF">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四、付款方式</w:t>
      </w:r>
    </w:p>
    <w:p w14:paraId="051FA34F">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auto"/>
          <w:kern w:val="2"/>
          <w:sz w:val="32"/>
          <w:szCs w:val="32"/>
          <w:u w:val="none"/>
          <w:lang w:val="en-US" w:eastAsia="zh-CN" w:bidi="ar-SA"/>
        </w:rPr>
      </w:pPr>
      <w:r>
        <w:rPr>
          <w:rFonts w:hint="default" w:ascii="Times New Roman" w:hAnsi="Times New Roman" w:eastAsia="仿宋_GB2312" w:cs="Times New Roman"/>
          <w:b w:val="0"/>
          <w:bCs/>
          <w:color w:val="auto"/>
          <w:kern w:val="2"/>
          <w:sz w:val="32"/>
          <w:szCs w:val="32"/>
          <w:u w:val="none"/>
          <w:lang w:val="en-US" w:eastAsia="zh-CN" w:bidi="ar-SA"/>
        </w:rPr>
        <w:t>（一）合同签订后，</w:t>
      </w:r>
      <w:r>
        <w:rPr>
          <w:rFonts w:hint="eastAsia" w:eastAsia="仿宋_GB2312" w:cs="Times New Roman"/>
          <w:b w:val="0"/>
          <w:bCs/>
          <w:color w:val="auto"/>
          <w:kern w:val="2"/>
          <w:sz w:val="32"/>
          <w:szCs w:val="32"/>
          <w:u w:val="none"/>
          <w:lang w:val="en-US" w:eastAsia="zh-CN" w:bidi="ar-SA"/>
        </w:rPr>
        <w:t>每年</w:t>
      </w:r>
      <w:r>
        <w:rPr>
          <w:rFonts w:hint="default" w:ascii="Times New Roman" w:hAnsi="Times New Roman" w:eastAsia="仿宋_GB2312" w:cs="Times New Roman"/>
          <w:b w:val="0"/>
          <w:bCs/>
          <w:color w:val="auto"/>
          <w:kern w:val="2"/>
          <w:sz w:val="32"/>
          <w:szCs w:val="32"/>
          <w:u w:val="none"/>
          <w:lang w:val="en-US" w:eastAsia="zh-CN" w:bidi="ar-SA"/>
        </w:rPr>
        <w:t>完成项目所有检测工作，并出具检测报告</w:t>
      </w:r>
      <w:r>
        <w:rPr>
          <w:rFonts w:hint="eastAsia" w:eastAsia="仿宋_GB2312" w:cs="Times New Roman"/>
          <w:b w:val="0"/>
          <w:bCs/>
          <w:color w:val="auto"/>
          <w:kern w:val="2"/>
          <w:sz w:val="32"/>
          <w:szCs w:val="32"/>
          <w:u w:val="none"/>
          <w:lang w:val="en-US" w:eastAsia="zh-CN" w:bidi="ar-SA"/>
        </w:rPr>
        <w:t>（提交纸质版报告，一式两份）</w:t>
      </w:r>
      <w:r>
        <w:rPr>
          <w:rFonts w:hint="eastAsia"/>
          <w:lang w:eastAsia="zh-CN"/>
        </w:rPr>
        <w:t>。</w:t>
      </w:r>
      <w:r>
        <w:rPr>
          <w:rFonts w:hint="default" w:eastAsia="仿宋_GB2312"/>
          <w:bCs/>
          <w:color w:val="auto"/>
          <w:sz w:val="32"/>
          <w:szCs w:val="32"/>
          <w:u w:val="none"/>
          <w:lang w:eastAsia="zh-CN"/>
        </w:rPr>
        <w:t>检测报告经甲方验收通过后，</w:t>
      </w:r>
      <w:r>
        <w:rPr>
          <w:rFonts w:hint="eastAsia" w:eastAsia="仿宋_GB2312" w:cs="Times New Roman"/>
          <w:b w:val="0"/>
          <w:bCs/>
          <w:color w:val="auto"/>
          <w:kern w:val="2"/>
          <w:sz w:val="32"/>
          <w:szCs w:val="32"/>
          <w:u w:val="none"/>
          <w:lang w:val="en-US" w:eastAsia="zh-CN" w:bidi="ar-SA"/>
        </w:rPr>
        <w:t>次月</w:t>
      </w:r>
      <w:r>
        <w:rPr>
          <w:rFonts w:hint="default" w:ascii="Times New Roman" w:hAnsi="Times New Roman" w:eastAsia="仿宋_GB2312" w:cs="Times New Roman"/>
          <w:b w:val="0"/>
          <w:bCs/>
          <w:color w:val="auto"/>
          <w:kern w:val="2"/>
          <w:sz w:val="32"/>
          <w:szCs w:val="32"/>
          <w:u w:val="none"/>
          <w:lang w:val="en-US" w:eastAsia="zh-CN" w:bidi="ar-SA"/>
        </w:rPr>
        <w:t>一次性支付检测费。</w:t>
      </w:r>
      <w:r>
        <w:rPr>
          <w:rFonts w:hint="eastAsia" w:eastAsia="仿宋_GB2312" w:cs="Times New Roman"/>
          <w:bCs/>
          <w:color w:val="auto"/>
          <w:sz w:val="32"/>
          <w:szCs w:val="32"/>
          <w:lang w:val="en-US" w:eastAsia="zh-CN"/>
        </w:rPr>
        <w:t>如因建设需要被征收不需检测，则扣减该部分检测费用。</w:t>
      </w:r>
    </w:p>
    <w:p w14:paraId="1F903531">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（二）支付项目价款前，乙方应开具正式合法有效的等额发票。如乙方延迟提交</w:t>
      </w:r>
      <w:r>
        <w:rPr>
          <w:rFonts w:hint="eastAsia" w:eastAsia="仿宋_GB2312" w:cs="Times New Roman"/>
          <w:b w:val="0"/>
          <w:bCs/>
          <w:color w:val="000000"/>
          <w:kern w:val="2"/>
          <w:sz w:val="32"/>
          <w:szCs w:val="32"/>
          <w:u w:val="none"/>
          <w:lang w:val="en-US" w:eastAsia="zh-CN" w:bidi="ar-SA"/>
        </w:rPr>
        <w:t>或者提交的发票不符合要求的</w:t>
      </w:r>
      <w:r>
        <w:rPr>
          <w:rFonts w:hint="default" w:ascii="Times New Roman" w:hAnsi="Times New Roman" w:eastAsia="仿宋_GB2312" w:cs="Times New Roman"/>
          <w:b w:val="0"/>
          <w:bCs/>
          <w:color w:val="000000"/>
          <w:kern w:val="2"/>
          <w:sz w:val="32"/>
          <w:szCs w:val="32"/>
          <w:u w:val="none"/>
          <w:lang w:val="en-US" w:eastAsia="zh-CN" w:bidi="ar-SA"/>
        </w:rPr>
        <w:t>，甲方有权顺延付款，不视为甲方违约，</w:t>
      </w:r>
      <w:bookmarkStart w:id="6" w:name="_GoBack"/>
      <w:r>
        <w:rPr>
          <w:rFonts w:hint="default" w:ascii="Times New Roman" w:hAnsi="Times New Roman" w:eastAsia="仿宋_GB2312" w:cs="Times New Roman"/>
          <w:b w:val="0"/>
          <w:bCs/>
          <w:color w:val="000000"/>
          <w:kern w:val="2"/>
          <w:sz w:val="32"/>
          <w:szCs w:val="32"/>
          <w:u w:val="none"/>
          <w:lang w:val="en-US" w:eastAsia="zh-CN" w:bidi="ar-SA"/>
        </w:rPr>
        <w:t>因</w:t>
      </w:r>
      <w:bookmarkEnd w:id="6"/>
      <w:r>
        <w:rPr>
          <w:rFonts w:hint="default" w:ascii="Times New Roman" w:hAnsi="Times New Roman" w:eastAsia="仿宋_GB2312" w:cs="Times New Roman"/>
          <w:b w:val="0"/>
          <w:bCs/>
          <w:color w:val="000000"/>
          <w:kern w:val="2"/>
          <w:sz w:val="32"/>
          <w:szCs w:val="32"/>
          <w:u w:val="none"/>
          <w:lang w:val="en-US" w:eastAsia="zh-CN" w:bidi="ar-SA"/>
        </w:rPr>
        <w:t>此造成不能按时支付的损失由乙方自行承担。</w:t>
      </w:r>
    </w:p>
    <w:p w14:paraId="32046EFC">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w:t>
      </w:r>
      <w:r>
        <w:rPr>
          <w:rFonts w:hint="eastAsia" w:eastAsia="仿宋_GB2312" w:cs="Times New Roman"/>
          <w:b w:val="0"/>
          <w:bCs/>
          <w:color w:val="000000"/>
          <w:kern w:val="2"/>
          <w:sz w:val="32"/>
          <w:szCs w:val="32"/>
          <w:u w:val="none"/>
          <w:lang w:val="en-US" w:eastAsia="zh-CN" w:bidi="ar-SA"/>
        </w:rPr>
        <w:t>三</w:t>
      </w:r>
      <w:r>
        <w:rPr>
          <w:rFonts w:hint="default" w:ascii="Times New Roman" w:hAnsi="Times New Roman" w:eastAsia="仿宋_GB2312" w:cs="Times New Roman"/>
          <w:b w:val="0"/>
          <w:bCs/>
          <w:color w:val="000000"/>
          <w:kern w:val="2"/>
          <w:sz w:val="32"/>
          <w:szCs w:val="32"/>
          <w:u w:val="none"/>
          <w:lang w:val="en-US" w:eastAsia="zh-CN" w:bidi="ar-SA"/>
        </w:rPr>
        <w:t>）本合同的费用由政府财政拨款，如因政策或审批程序的影响，拨款未及时到位的，乙方不得以此为由而不履行或怠于履行本合同约定的义务。</w:t>
      </w:r>
    </w:p>
    <w:p w14:paraId="576080D8">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五、乙方提供检测报告资料</w:t>
      </w:r>
    </w:p>
    <w:p w14:paraId="2C9F9438">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乙方</w:t>
      </w:r>
      <w:bookmarkStart w:id="4" w:name="OLE_LINK1"/>
      <w:r>
        <w:rPr>
          <w:rFonts w:hint="default" w:ascii="Times New Roman" w:hAnsi="Times New Roman" w:eastAsia="仿宋_GB2312" w:cs="Times New Roman"/>
          <w:b w:val="0"/>
          <w:bCs/>
          <w:color w:val="000000"/>
          <w:kern w:val="2"/>
          <w:sz w:val="32"/>
          <w:szCs w:val="32"/>
          <w:u w:val="none"/>
          <w:lang w:val="en-US" w:eastAsia="zh-CN" w:bidi="ar-SA"/>
        </w:rPr>
        <w:t>需在检测工作完成后10天内提供符合《广东省实施</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color w:val="000000"/>
          <w:kern w:val="2"/>
          <w:sz w:val="32"/>
          <w:szCs w:val="32"/>
          <w:u w:val="none"/>
          <w:lang w:val="en-US" w:eastAsia="zh-CN" w:bidi="ar-SA"/>
        </w:rPr>
        <w:t>中华人民共和国消防法</w:t>
      </w:r>
      <w:r>
        <w:rPr>
          <w:rFonts w:hint="default" w:ascii="Times New Roman" w:hAnsi="Times New Roman" w:eastAsia="仿宋_GB2312" w:cs="Times New Roman"/>
          <w:sz w:val="32"/>
          <w:szCs w:val="32"/>
        </w:rPr>
        <w:t>〉</w:t>
      </w:r>
      <w:r>
        <w:rPr>
          <w:rFonts w:hint="default" w:ascii="Times New Roman" w:hAnsi="Times New Roman" w:eastAsia="仿宋_GB2312" w:cs="Times New Roman"/>
          <w:b w:val="0"/>
          <w:bCs/>
          <w:color w:val="000000"/>
          <w:kern w:val="2"/>
          <w:sz w:val="32"/>
          <w:szCs w:val="32"/>
          <w:u w:val="none"/>
          <w:lang w:val="en-US" w:eastAsia="zh-CN" w:bidi="ar-SA"/>
        </w:rPr>
        <w:t>办法》、《建筑电气防火检测技术规范》</w:t>
      </w:r>
      <w:r>
        <w:rPr>
          <w:rFonts w:hint="eastAsia" w:eastAsia="仿宋_GB2312" w:cs="Times New Roman"/>
          <w:b w:val="0"/>
          <w:bCs/>
          <w:color w:val="000000"/>
          <w:kern w:val="2"/>
          <w:sz w:val="32"/>
          <w:szCs w:val="32"/>
          <w:u w:val="none"/>
          <w:lang w:val="en-US" w:eastAsia="zh-CN" w:bidi="ar-SA"/>
        </w:rPr>
        <w:t>（粤建公告〔2018〕20号）</w:t>
      </w:r>
      <w:r>
        <w:rPr>
          <w:rFonts w:hint="default" w:ascii="Times New Roman" w:hAnsi="Times New Roman" w:eastAsia="仿宋_GB2312" w:cs="Times New Roman"/>
          <w:b w:val="0"/>
          <w:bCs/>
          <w:color w:val="000000"/>
          <w:kern w:val="2"/>
          <w:sz w:val="32"/>
          <w:szCs w:val="32"/>
          <w:u w:val="none"/>
          <w:lang w:val="en-US" w:eastAsia="zh-CN" w:bidi="ar-SA"/>
        </w:rPr>
        <w:t>等有关要求的检测报告(一式两份)。</w:t>
      </w:r>
      <w:bookmarkEnd w:id="4"/>
    </w:p>
    <w:p w14:paraId="051F4A86">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六、甲方的权利与义务</w:t>
      </w:r>
    </w:p>
    <w:p w14:paraId="022B38E7">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（一）检测期间，甲方须委派专业人员协助乙方的检测工作，给予安全指引和配合。</w:t>
      </w:r>
    </w:p>
    <w:p w14:paraId="7F906585">
      <w:pPr>
        <w:pStyle w:val="4"/>
        <w:keepNext w:val="0"/>
        <w:keepLines w:val="0"/>
        <w:pageBreakBefore w:val="0"/>
        <w:widowControl w:val="0"/>
        <w:kinsoku/>
        <w:wordWrap/>
        <w:overflowPunct/>
        <w:topLinePunct w:val="0"/>
        <w:autoSpaceDE/>
        <w:autoSpaceDN/>
        <w:bidi w:val="0"/>
        <w:adjustRightInd/>
        <w:snapToGrid/>
        <w:spacing w:before="0" w:line="580" w:lineRule="exact"/>
        <w:jc w:val="left"/>
        <w:textAlignment w:val="auto"/>
        <w:rPr>
          <w:rFonts w:hint="default" w:ascii="Times New Roman" w:hAnsi="Times New Roman" w:eastAsia="仿宋_GB2312" w:cs="Times New Roman"/>
          <w:b w:val="0"/>
          <w:bCs/>
          <w:color w:val="000000"/>
          <w:kern w:val="2"/>
          <w:sz w:val="32"/>
          <w:szCs w:val="32"/>
          <w:u w:val="none"/>
          <w:lang w:val="en-US" w:eastAsia="zh-CN" w:bidi="ar-SA"/>
        </w:rPr>
      </w:pPr>
      <w:r>
        <w:rPr>
          <w:rFonts w:hint="default" w:ascii="Times New Roman" w:hAnsi="Times New Roman" w:eastAsia="仿宋_GB2312" w:cs="Times New Roman"/>
          <w:b w:val="0"/>
          <w:bCs/>
          <w:color w:val="000000"/>
          <w:kern w:val="2"/>
          <w:sz w:val="32"/>
          <w:szCs w:val="32"/>
          <w:u w:val="none"/>
          <w:lang w:val="en-US" w:eastAsia="zh-CN" w:bidi="ar-SA"/>
        </w:rPr>
        <w:t>（二）甲方有权检查乙方的工作进度，并提出整改意见。</w:t>
      </w:r>
    </w:p>
    <w:p w14:paraId="6DC85FB8">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24" w:leftChars="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七、乙方的权利与义务</w:t>
      </w:r>
    </w:p>
    <w:p w14:paraId="5400176B">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（一）乙方须具有在有效期内的检验检测机构资质认定（CMA）证书；检测人员需持有特种作业操作证（电工证），并要求检测人员持证上岗、人证合一。</w:t>
      </w:r>
    </w:p>
    <w:p w14:paraId="27460A55">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 w:val="0"/>
          <w:bCs/>
          <w:color w:val="auto"/>
          <w:spacing w:val="-6"/>
          <w:kern w:val="2"/>
          <w:sz w:val="32"/>
          <w:szCs w:val="32"/>
          <w:u w:val="none"/>
          <w:lang w:val="en-US" w:eastAsia="zh-CN" w:bidi="ar-SA"/>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二</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w:t>
      </w:r>
      <w:r>
        <w:rPr>
          <w:rFonts w:hint="default" w:ascii="Times New Roman" w:hAnsi="Times New Roman" w:eastAsia="仿宋_GB2312" w:cs="Times New Roman"/>
          <w:b w:val="0"/>
          <w:bCs/>
          <w:color w:val="000000" w:themeColor="text1"/>
          <w:spacing w:val="-6"/>
          <w:kern w:val="2"/>
          <w:sz w:val="32"/>
          <w:szCs w:val="32"/>
          <w:u w:val="none"/>
          <w:lang w:val="en-US" w:eastAsia="zh-CN" w:bidi="ar-SA"/>
          <w14:textFill>
            <w14:solidFill>
              <w14:schemeClr w14:val="tx1"/>
            </w14:solidFill>
          </w14:textFill>
        </w:rPr>
        <w:t>乙方在</w:t>
      </w:r>
      <w:r>
        <w:rPr>
          <w:rFonts w:hint="eastAsia" w:eastAsia="仿宋_GB2312" w:cs="Times New Roman"/>
          <w:b w:val="0"/>
          <w:bCs/>
          <w:color w:val="000000" w:themeColor="text1"/>
          <w:spacing w:val="-6"/>
          <w:kern w:val="2"/>
          <w:sz w:val="32"/>
          <w:szCs w:val="32"/>
          <w:u w:val="none"/>
          <w:lang w:val="en-US" w:eastAsia="zh-CN" w:bidi="ar-SA"/>
          <w14:textFill>
            <w14:solidFill>
              <w14:schemeClr w14:val="tx1"/>
            </w14:solidFill>
          </w14:textFill>
        </w:rPr>
        <w:t>检测</w:t>
      </w:r>
      <w:r>
        <w:rPr>
          <w:rFonts w:hint="default" w:ascii="Times New Roman" w:hAnsi="Times New Roman" w:eastAsia="仿宋_GB2312" w:cs="Times New Roman"/>
          <w:b w:val="0"/>
          <w:bCs/>
          <w:color w:val="000000" w:themeColor="text1"/>
          <w:spacing w:val="-6"/>
          <w:kern w:val="2"/>
          <w:sz w:val="32"/>
          <w:szCs w:val="32"/>
          <w:u w:val="none"/>
          <w:lang w:val="en-US" w:eastAsia="zh-CN" w:bidi="ar-SA"/>
          <w14:textFill>
            <w14:solidFill>
              <w14:schemeClr w14:val="tx1"/>
            </w14:solidFill>
          </w14:textFill>
        </w:rPr>
        <w:t>过程中应加强安全防护，严格遵守各项操作规程，</w:t>
      </w:r>
      <w:r>
        <w:rPr>
          <w:rFonts w:hint="default" w:ascii="Times New Roman" w:hAnsi="Times New Roman" w:eastAsia="仿宋_GB2312" w:cs="Times New Roman"/>
          <w:b w:val="0"/>
          <w:bCs/>
          <w:color w:val="auto"/>
          <w:spacing w:val="-6"/>
          <w:kern w:val="2"/>
          <w:sz w:val="32"/>
          <w:szCs w:val="32"/>
          <w:u w:val="none"/>
          <w:lang w:val="en-US" w:eastAsia="zh-CN" w:bidi="ar-SA"/>
        </w:rPr>
        <w:t>确保</w:t>
      </w:r>
      <w:r>
        <w:rPr>
          <w:rFonts w:hint="eastAsia" w:eastAsia="仿宋_GB2312" w:cs="Times New Roman"/>
          <w:b w:val="0"/>
          <w:bCs/>
          <w:color w:val="000000" w:themeColor="text1"/>
          <w:spacing w:val="-6"/>
          <w:kern w:val="2"/>
          <w:sz w:val="32"/>
          <w:szCs w:val="32"/>
          <w:u w:val="none"/>
          <w:lang w:val="en-US" w:eastAsia="zh-CN" w:bidi="ar-SA"/>
          <w14:textFill>
            <w14:solidFill>
              <w14:schemeClr w14:val="tx1"/>
            </w14:solidFill>
          </w14:textFill>
        </w:rPr>
        <w:t>检测</w:t>
      </w:r>
      <w:r>
        <w:rPr>
          <w:rFonts w:hint="default" w:ascii="Times New Roman" w:hAnsi="Times New Roman" w:eastAsia="仿宋_GB2312" w:cs="Times New Roman"/>
          <w:b w:val="0"/>
          <w:bCs/>
          <w:color w:val="auto"/>
          <w:spacing w:val="-6"/>
          <w:kern w:val="2"/>
          <w:sz w:val="32"/>
          <w:szCs w:val="32"/>
          <w:u w:val="none"/>
          <w:lang w:val="en-US" w:eastAsia="zh-CN" w:bidi="ar-SA"/>
        </w:rPr>
        <w:t>过程中无安全事故发生，如因乙方操作不当、管理疏漏等各种原因造成乙方职工、雇员或任何其他人人身或财产损害的，乙方应承担全部责任，如甲方在上述情形中实际承担了责任的，乙方同意无条件赔偿甲方的一切损失（包括但不限于相关的赔偿费用、诉讼费、保全费、鉴定费、公证费、律师费、差旅费等所有费用）。</w:t>
      </w:r>
    </w:p>
    <w:p w14:paraId="41BDEEDC">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 w:val="0"/>
          <w:bCs/>
          <w:color w:val="auto"/>
          <w:kern w:val="2"/>
          <w:sz w:val="32"/>
          <w:szCs w:val="32"/>
          <w:u w:val="none"/>
          <w:lang w:val="en-US" w:eastAsia="zh-CN" w:bidi="ar-SA"/>
        </w:rPr>
      </w:pPr>
      <w:r>
        <w:rPr>
          <w:rFonts w:hint="default" w:ascii="Times New Roman" w:hAnsi="Times New Roman" w:eastAsia="仿宋_GB2312" w:cs="Times New Roman"/>
          <w:b w:val="0"/>
          <w:bCs/>
          <w:color w:val="auto"/>
          <w:kern w:val="2"/>
          <w:sz w:val="32"/>
          <w:szCs w:val="32"/>
          <w:u w:val="none"/>
          <w:lang w:val="en-US" w:eastAsia="zh-CN" w:bidi="ar-SA"/>
        </w:rPr>
        <w:t>（</w:t>
      </w:r>
      <w:r>
        <w:rPr>
          <w:rFonts w:hint="eastAsia" w:eastAsia="仿宋_GB2312" w:cs="Times New Roman"/>
          <w:b w:val="0"/>
          <w:bCs/>
          <w:color w:val="auto"/>
          <w:kern w:val="2"/>
          <w:sz w:val="32"/>
          <w:szCs w:val="32"/>
          <w:u w:val="none"/>
          <w:lang w:val="en-US" w:eastAsia="zh-CN" w:bidi="ar-SA"/>
        </w:rPr>
        <w:t>三</w:t>
      </w:r>
      <w:r>
        <w:rPr>
          <w:rFonts w:hint="default" w:ascii="Times New Roman" w:hAnsi="Times New Roman" w:eastAsia="仿宋_GB2312" w:cs="Times New Roman"/>
          <w:b w:val="0"/>
          <w:bCs/>
          <w:color w:val="auto"/>
          <w:kern w:val="2"/>
          <w:sz w:val="32"/>
          <w:szCs w:val="32"/>
          <w:u w:val="none"/>
          <w:lang w:val="en-US" w:eastAsia="zh-CN" w:bidi="ar-SA"/>
        </w:rPr>
        <w:t>）检测工作完成后6个月内乙方可应甲方要求对甲方已整改项目复检一次</w:t>
      </w:r>
      <w:r>
        <w:rPr>
          <w:rFonts w:hint="eastAsia" w:eastAsia="仿宋_GB2312" w:cs="Times New Roman"/>
          <w:b w:val="0"/>
          <w:bCs/>
          <w:color w:val="auto"/>
          <w:kern w:val="2"/>
          <w:sz w:val="32"/>
          <w:szCs w:val="32"/>
          <w:u w:val="none"/>
          <w:lang w:val="en-US" w:eastAsia="zh-CN" w:bidi="ar-SA"/>
        </w:rPr>
        <w:t>，费用由乙方承担</w:t>
      </w:r>
      <w:r>
        <w:rPr>
          <w:rFonts w:hint="default" w:ascii="Times New Roman" w:hAnsi="Times New Roman" w:eastAsia="仿宋_GB2312" w:cs="Times New Roman"/>
          <w:b w:val="0"/>
          <w:bCs/>
          <w:color w:val="auto"/>
          <w:kern w:val="2"/>
          <w:sz w:val="32"/>
          <w:szCs w:val="32"/>
          <w:u w:val="none"/>
          <w:lang w:val="en-US" w:eastAsia="zh-CN" w:bidi="ar-SA"/>
        </w:rPr>
        <w:t>。</w:t>
      </w:r>
    </w:p>
    <w:p w14:paraId="119AA5E2">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24" w:leftChars="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四</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w:t>
      </w:r>
      <w:bookmarkStart w:id="5" w:name="OLE_LINK2"/>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乙方不得将承包事项转交第三方承接。</w:t>
      </w:r>
      <w:bookmarkEnd w:id="5"/>
    </w:p>
    <w:p w14:paraId="19C93754">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五</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）接受甲方的监督，并按甲方要求及时整改。</w:t>
      </w:r>
    </w:p>
    <w:p w14:paraId="27202563">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八、违约责任</w:t>
      </w:r>
    </w:p>
    <w:p w14:paraId="2B2DF446">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t>（一）如乙方未按合同要求及时履行义务的，甲方有权要求乙方限期整改，因此所产生的额外费用由乙方自行承担。如乙方逾期未整改或者经整改仍未符合合同要求的，甲方有权另行委托第三方完成相关工作，因此所产生的相关费用由乙方承担。</w:t>
      </w:r>
    </w:p>
    <w:p w14:paraId="54CDEB63">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t>（二）未经甲方书面同意，乙方擅自转让本合同项下部分或全部义务的，甲方有权单方面解除合同，并要求乙方退还已支付费用，并按合同总金额10%的标准支付违约金。</w:t>
      </w:r>
    </w:p>
    <w:p w14:paraId="4862209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eastAsia" w:eastAsia="仿宋_GB2312" w:cs="Times New Roman"/>
          <w:bCs/>
          <w:kern w:val="2"/>
          <w:sz w:val="32"/>
          <w:szCs w:val="32"/>
          <w:lang w:val="en-US" w:eastAsia="zh-CN" w:bidi="ar-SA"/>
        </w:rPr>
      </w:pPr>
      <w:r>
        <w:rPr>
          <w:rFonts w:hint="eastAsia" w:eastAsia="仿宋_GB2312" w:cs="Times New Roman"/>
          <w:bCs/>
          <w:kern w:val="2"/>
          <w:sz w:val="32"/>
          <w:szCs w:val="32"/>
          <w:lang w:val="en-US" w:eastAsia="zh-CN" w:bidi="ar-SA"/>
        </w:rPr>
        <w:t>（三）乙方未能在合同约定期限内提交正式检测报告的，每逾期一日，应向甲方支付逾期违约金（</w:t>
      </w:r>
      <w:r>
        <w:rPr>
          <w:rFonts w:hint="default" w:ascii="Times New Roman" w:hAnsi="Times New Roman" w:eastAsia="仿宋_GB2312" w:cs="Times New Roman"/>
          <w:bCs/>
          <w:kern w:val="2"/>
          <w:sz w:val="32"/>
          <w:szCs w:val="32"/>
          <w:lang w:val="en-US" w:eastAsia="zh-CN" w:bidi="ar-SA"/>
        </w:rPr>
        <w:t>按合同总金额</w:t>
      </w:r>
      <w:r>
        <w:rPr>
          <w:rFonts w:hint="eastAsia" w:eastAsia="仿宋_GB2312" w:cs="Times New Roman"/>
          <w:bCs/>
          <w:kern w:val="2"/>
          <w:sz w:val="32"/>
          <w:szCs w:val="32"/>
          <w:lang w:val="en-US" w:eastAsia="zh-CN" w:bidi="ar-SA"/>
        </w:rPr>
        <w:t>1</w:t>
      </w:r>
      <w:r>
        <w:rPr>
          <w:rFonts w:hint="default" w:ascii="Times New Roman" w:hAnsi="Times New Roman" w:eastAsia="仿宋_GB2312" w:cs="Times New Roman"/>
          <w:bCs/>
          <w:kern w:val="2"/>
          <w:sz w:val="32"/>
          <w:szCs w:val="32"/>
          <w:lang w:val="en-US" w:eastAsia="zh-CN" w:bidi="ar-SA"/>
        </w:rPr>
        <w:t>%的标准</w:t>
      </w:r>
      <w:r>
        <w:rPr>
          <w:rFonts w:hint="eastAsia" w:eastAsia="仿宋_GB2312" w:cs="Times New Roman"/>
          <w:bCs/>
          <w:kern w:val="2"/>
          <w:sz w:val="32"/>
          <w:szCs w:val="32"/>
          <w:lang w:val="en-US" w:eastAsia="zh-CN" w:bidi="ar-SA"/>
        </w:rPr>
        <w:t>），逾期超过15个工作日，甲方有权单方解除合同。</w:t>
      </w:r>
    </w:p>
    <w:p w14:paraId="4151114E">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eastAsia" w:eastAsia="仿宋_GB2312" w:cs="Times New Roman"/>
          <w:bCs/>
          <w:kern w:val="2"/>
          <w:sz w:val="32"/>
          <w:szCs w:val="32"/>
          <w:lang w:val="en-US" w:eastAsia="zh-CN" w:bidi="ar-SA"/>
        </w:rPr>
      </w:pPr>
      <w:r>
        <w:rPr>
          <w:rFonts w:hint="eastAsia" w:eastAsia="仿宋_GB2312" w:cs="Times New Roman"/>
          <w:bCs/>
          <w:kern w:val="2"/>
          <w:sz w:val="32"/>
          <w:szCs w:val="32"/>
          <w:lang w:val="en-US" w:eastAsia="zh-CN" w:bidi="ar-SA"/>
        </w:rPr>
        <w:t>（四）发现乙方有下列情形的，应按合同价总金额5%的标准支付违约金，具体如下：</w:t>
      </w:r>
    </w:p>
    <w:p w14:paraId="6F480045">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eastAsia="仿宋_GB2312" w:cs="Times New Roman"/>
          <w:bCs/>
          <w:kern w:val="2"/>
          <w:sz w:val="32"/>
          <w:szCs w:val="32"/>
          <w:lang w:val="en-US" w:eastAsia="zh-CN" w:bidi="ar-SA"/>
        </w:rPr>
      </w:pPr>
      <w:r>
        <w:rPr>
          <w:rFonts w:hint="eastAsia" w:eastAsia="仿宋_GB2312" w:cs="Times New Roman"/>
          <w:bCs/>
          <w:kern w:val="2"/>
          <w:sz w:val="32"/>
          <w:szCs w:val="32"/>
          <w:lang w:val="en-US" w:eastAsia="zh-CN" w:bidi="ar-SA"/>
        </w:rPr>
        <w:t>1.乙方或其检测人员不具备相关资质的；2.提供虚假资质证明材料的；3.检测报告存在弄虚作假的。</w:t>
      </w:r>
    </w:p>
    <w:p w14:paraId="7B2CA3B2">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九、不可抗力</w:t>
      </w:r>
    </w:p>
    <w:p w14:paraId="0FD21D0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甲</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乙</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双方的任何一方，由于自然灾害等不可抗力的原因而不能履行合同时，应及时向对方通报，在取得有关的证明后，允许延期履行，部分履行或者不履行合同，并根据情况免于承担违约责任。但甲乙双方应尽快安排下一步合同的执行。</w:t>
      </w:r>
    </w:p>
    <w:p w14:paraId="021DFB1A">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十、其他条款</w:t>
      </w:r>
    </w:p>
    <w:p w14:paraId="2BE33795">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一）双方确认：与履行本合同有关通知均应按照合同中所载的联系方式以书面形式作出。合同中所载的联系方式亦为法院法律文书的送达地址。如以邮寄方式发送，以发件人寄出邮件后3日视为送达日期（无论收件人实际收件时间、是否实际收到、无法送达或退件）；以电子邮件形式发出的通知，</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发</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达</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之</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日即视为送达。双方应对送达地址负责，如有变更，变更方负有义务通知对方，并书面告知新的联系人信息。如未告知而导致对方受到损失的，未告知方应赔偿对方的全部损失。</w:t>
      </w:r>
    </w:p>
    <w:p w14:paraId="01F3448B">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二）甲方双方应以友好协商方式解决本合同履行过程中产生的争议。经协商无法解决争议时，任何一方均可向甲方所在地人民法院起诉。乙方违约，甲方为解决纠纷而产生的包括但不限于诉讼费用、仲裁费用、财产保全费用、证据保全费、申请财产保全的担保费、律师费、公证费、执行费、评估费、拍卖费等其他应付费用，全部由乙方承担。</w:t>
      </w:r>
    </w:p>
    <w:p w14:paraId="411EE356">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十一、合同生效及其他</w:t>
      </w:r>
    </w:p>
    <w:p w14:paraId="36F59E74">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（一）本合同一式</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肆</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份，甲方持</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叁</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份，乙方</w:t>
      </w: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壹</w:t>
      </w: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份，具同等法律效力，经双方法定代表人或者授权代表签字并加盖公章后生效。</w:t>
      </w:r>
    </w:p>
    <w:p w14:paraId="14B4E6EE">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spacing w:val="-6"/>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（二）</w:t>
      </w:r>
      <w:r>
        <w:rPr>
          <w:rFonts w:hint="default" w:ascii="Times New Roman" w:hAnsi="Times New Roman" w:eastAsia="仿宋_GB2312" w:cs="Times New Roman"/>
          <w:b w:val="0"/>
          <w:bCs/>
          <w:color w:val="000000" w:themeColor="text1"/>
          <w:spacing w:val="-6"/>
          <w:kern w:val="2"/>
          <w:sz w:val="32"/>
          <w:szCs w:val="32"/>
          <w:u w:val="none"/>
          <w:lang w:val="en-US" w:eastAsia="zh-CN" w:bidi="ar-SA"/>
          <w14:textFill>
            <w14:solidFill>
              <w14:schemeClr w14:val="tx1"/>
            </w14:solidFill>
          </w14:textFill>
        </w:rPr>
        <w:t>对合同内容做出的任何修改和补充应为书面形式，</w:t>
      </w:r>
      <w:r>
        <w:rPr>
          <w:rFonts w:hint="eastAsia" w:eastAsia="仿宋_GB2312" w:cs="Times New Roman"/>
          <w:b w:val="0"/>
          <w:bCs/>
          <w:color w:val="000000" w:themeColor="text1"/>
          <w:spacing w:val="-6"/>
          <w:kern w:val="2"/>
          <w:sz w:val="32"/>
          <w:szCs w:val="32"/>
          <w:u w:val="none"/>
          <w:lang w:val="en-US" w:eastAsia="zh-CN" w:bidi="ar-SA"/>
          <w14:textFill>
            <w14:solidFill>
              <w14:schemeClr w14:val="tx1"/>
            </w14:solidFill>
          </w14:textFill>
        </w:rPr>
        <w:t>该书面文件</w:t>
      </w:r>
      <w:r>
        <w:rPr>
          <w:rFonts w:hint="default" w:ascii="Times New Roman" w:hAnsi="Times New Roman" w:eastAsia="仿宋_GB2312" w:cs="Times New Roman"/>
          <w:b w:val="0"/>
          <w:bCs/>
          <w:color w:val="000000" w:themeColor="text1"/>
          <w:spacing w:val="-6"/>
          <w:kern w:val="2"/>
          <w:sz w:val="32"/>
          <w:szCs w:val="32"/>
          <w:u w:val="none"/>
          <w:lang w:val="en-US" w:eastAsia="zh-CN" w:bidi="ar-SA"/>
          <w14:textFill>
            <w14:solidFill>
              <w14:schemeClr w14:val="tx1"/>
            </w14:solidFill>
          </w14:textFill>
        </w:rPr>
        <w:t>由双方法定代表人或者授权代表签字后成为合同不可分割的部分。</w:t>
      </w:r>
    </w:p>
    <w:p w14:paraId="36691803">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t>（三）任何与合同相关但未在合同中明确规定的事项将由双方友好协商并达成协议予以解决。</w:t>
      </w:r>
    </w:p>
    <w:p w14:paraId="2CA648CB">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r>
        <w:rPr>
          <w:rFonts w:hint="eastAsia" w:eastAsia="仿宋_GB2312" w:cs="Times New Roman"/>
          <w:b w:val="0"/>
          <w:bCs/>
          <w:color w:val="000000" w:themeColor="text1"/>
          <w:kern w:val="2"/>
          <w:sz w:val="32"/>
          <w:szCs w:val="32"/>
          <w:u w:val="none"/>
          <w:lang w:val="en-US" w:eastAsia="zh-CN" w:bidi="ar-SA"/>
          <w14:textFill>
            <w14:solidFill>
              <w14:schemeClr w14:val="tx1"/>
            </w14:solidFill>
          </w14:textFill>
        </w:rPr>
        <w:t>（以下无正文）</w:t>
      </w:r>
    </w:p>
    <w:p w14:paraId="116924F3">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0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p>
    <w:p w14:paraId="05FA2C9E">
      <w:pPr>
        <w:pStyle w:val="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0"/>
        <w:jc w:val="left"/>
        <w:textAlignment w:val="auto"/>
        <w:rPr>
          <w:rFonts w:hint="default" w:ascii="Times New Roman" w:hAnsi="Times New Roman" w:eastAsia="仿宋_GB2312" w:cs="Times New Roman"/>
          <w:b w:val="0"/>
          <w:bCs/>
          <w:color w:val="000000" w:themeColor="text1"/>
          <w:kern w:val="2"/>
          <w:sz w:val="32"/>
          <w:szCs w:val="32"/>
          <w:u w:val="none"/>
          <w:lang w:val="en-US" w:eastAsia="zh-CN" w:bidi="ar-SA"/>
          <w14:textFill>
            <w14:solidFill>
              <w14:schemeClr w14:val="tx1"/>
            </w14:solidFill>
          </w14:textFill>
        </w:rPr>
      </w:pPr>
    </w:p>
    <w:p w14:paraId="0303B648">
      <w:pPr>
        <w:pStyle w:val="11"/>
        <w:keepNext w:val="0"/>
        <w:keepLines w:val="0"/>
        <w:pageBreakBefore w:val="0"/>
        <w:widowControl/>
        <w:kinsoku/>
        <w:wordWrap/>
        <w:overflowPunct/>
        <w:topLinePunct w:val="0"/>
        <w:autoSpaceDE/>
        <w:autoSpaceDN/>
        <w:bidi w:val="0"/>
        <w:adjustRightInd/>
        <w:snapToGrid/>
        <w:spacing w:line="860" w:lineRule="exact"/>
        <w:jc w:val="both"/>
        <w:textAlignment w:val="auto"/>
        <w:rPr>
          <w:rFonts w:hint="default" w:ascii="Times New Roman" w:hAnsi="Times New Roman" w:eastAsia="仿宋_GB2312" w:cs="Times New Roman"/>
          <w:spacing w:val="-20"/>
          <w:sz w:val="30"/>
          <w:szCs w:val="30"/>
          <w:lang w:eastAsia="zh-CN"/>
        </w:rPr>
      </w:pPr>
      <w:r>
        <w:rPr>
          <w:rFonts w:hint="default" w:ascii="Times New Roman" w:hAnsi="Times New Roman" w:eastAsia="仿宋_GB2312" w:cs="Times New Roman"/>
          <w:spacing w:val="-20"/>
          <w:sz w:val="30"/>
          <w:szCs w:val="30"/>
        </w:rPr>
        <w:t>甲方:</w:t>
      </w:r>
      <w:r>
        <w:rPr>
          <w:rFonts w:hint="eastAsia" w:ascii="Times New Roman" w:hAnsi="Times New Roman" w:eastAsia="仿宋_GB2312" w:cs="Times New Roman"/>
          <w:spacing w:val="-20"/>
          <w:sz w:val="30"/>
          <w:szCs w:val="30"/>
          <w:lang w:eastAsia="zh-CN"/>
        </w:rPr>
        <w:t>东莞市市政园林管理中心</w:t>
      </w:r>
      <w:r>
        <w:rPr>
          <w:rFonts w:hint="default" w:ascii="Times New Roman" w:hAnsi="Times New Roman" w:eastAsia="仿宋_GB2312" w:cs="Times New Roman"/>
          <w:spacing w:val="-20"/>
          <w:sz w:val="30"/>
          <w:szCs w:val="30"/>
        </w:rPr>
        <w:t xml:space="preserve">      </w:t>
      </w:r>
      <w:r>
        <w:rPr>
          <w:rFonts w:hint="eastAsia" w:ascii="Times New Roman" w:hAnsi="Times New Roman" w:eastAsia="仿宋_GB2312" w:cs="Times New Roman"/>
          <w:spacing w:val="-20"/>
          <w:sz w:val="30"/>
          <w:szCs w:val="30"/>
          <w:lang w:val="en-US" w:eastAsia="zh-CN"/>
        </w:rPr>
        <w:t xml:space="preserve">       </w:t>
      </w:r>
      <w:r>
        <w:rPr>
          <w:rFonts w:hint="eastAsia" w:ascii="Times New Roman" w:hAnsi="Times New Roman" w:eastAsia="仿宋_GB2312" w:cs="Times New Roman"/>
          <w:spacing w:val="-34"/>
          <w:sz w:val="30"/>
          <w:szCs w:val="30"/>
          <w:lang w:val="en-US" w:eastAsia="zh-CN"/>
        </w:rPr>
        <w:t xml:space="preserve">   </w:t>
      </w:r>
      <w:r>
        <w:rPr>
          <w:rFonts w:hint="default" w:ascii="Times New Roman" w:hAnsi="Times New Roman" w:eastAsia="仿宋_GB2312" w:cs="Times New Roman"/>
          <w:spacing w:val="-34"/>
          <w:sz w:val="30"/>
          <w:szCs w:val="30"/>
        </w:rPr>
        <w:t>乙方</w:t>
      </w:r>
      <w:r>
        <w:rPr>
          <w:rFonts w:hint="default" w:ascii="Times New Roman" w:hAnsi="Times New Roman" w:eastAsia="仿宋_GB2312" w:cs="Times New Roman"/>
          <w:spacing w:val="0"/>
          <w:sz w:val="30"/>
          <w:szCs w:val="30"/>
        </w:rPr>
        <w:t>:</w:t>
      </w:r>
    </w:p>
    <w:p w14:paraId="1C815C81">
      <w:pPr>
        <w:pStyle w:val="11"/>
        <w:keepNext w:val="0"/>
        <w:keepLines w:val="0"/>
        <w:pageBreakBefore w:val="0"/>
        <w:widowControl/>
        <w:kinsoku/>
        <w:wordWrap/>
        <w:overflowPunct/>
        <w:topLinePunct w:val="0"/>
        <w:autoSpaceDE/>
        <w:autoSpaceDN/>
        <w:bidi w:val="0"/>
        <w:adjustRightInd/>
        <w:snapToGrid/>
        <w:spacing w:line="860" w:lineRule="exact"/>
        <w:jc w:val="both"/>
        <w:textAlignment w:val="auto"/>
        <w:rPr>
          <w:rFonts w:hint="default" w:ascii="Times New Roman" w:hAnsi="Times New Roman" w:eastAsia="仿宋_GB2312" w:cs="Times New Roman"/>
          <w:spacing w:val="-28"/>
          <w:sz w:val="30"/>
          <w:szCs w:val="30"/>
        </w:rPr>
      </w:pPr>
      <w:r>
        <w:rPr>
          <w:rFonts w:hint="default" w:ascii="Times New Roman" w:hAnsi="Times New Roman" w:eastAsia="仿宋_GB2312" w:cs="Times New Roman"/>
          <w:spacing w:val="-28"/>
          <w:sz w:val="30"/>
          <w:szCs w:val="30"/>
        </w:rPr>
        <w:t xml:space="preserve">法定代表人(签字)：               </w:t>
      </w:r>
      <w:r>
        <w:rPr>
          <w:rFonts w:hint="eastAsia" w:ascii="Times New Roman" w:hAnsi="Times New Roman" w:eastAsia="仿宋_GB2312" w:cs="Times New Roman"/>
          <w:spacing w:val="-28"/>
          <w:sz w:val="30"/>
          <w:szCs w:val="30"/>
          <w:lang w:val="en-US" w:eastAsia="zh-CN"/>
        </w:rPr>
        <w:t xml:space="preserve">                  </w:t>
      </w:r>
      <w:r>
        <w:rPr>
          <w:rFonts w:hint="default" w:ascii="Times New Roman" w:hAnsi="Times New Roman" w:eastAsia="仿宋_GB2312" w:cs="Times New Roman"/>
          <w:spacing w:val="-28"/>
          <w:sz w:val="30"/>
          <w:szCs w:val="30"/>
        </w:rPr>
        <w:t>法定代表人(签字)：</w:t>
      </w:r>
    </w:p>
    <w:p w14:paraId="5DD13B75">
      <w:pPr>
        <w:pStyle w:val="11"/>
        <w:keepNext w:val="0"/>
        <w:keepLines w:val="0"/>
        <w:pageBreakBefore w:val="0"/>
        <w:widowControl/>
        <w:kinsoku/>
        <w:wordWrap/>
        <w:overflowPunct/>
        <w:topLinePunct w:val="0"/>
        <w:autoSpaceDE/>
        <w:autoSpaceDN/>
        <w:bidi w:val="0"/>
        <w:adjustRightInd/>
        <w:snapToGrid/>
        <w:spacing w:line="900" w:lineRule="exact"/>
        <w:jc w:val="both"/>
        <w:textAlignment w:val="auto"/>
        <w:rPr>
          <w:rFonts w:hint="default" w:ascii="Times New Roman" w:hAnsi="Times New Roman" w:eastAsia="仿宋_GB2312" w:cs="Times New Roman"/>
          <w:spacing w:val="-28"/>
          <w:sz w:val="30"/>
          <w:szCs w:val="30"/>
        </w:rPr>
      </w:pPr>
      <w:r>
        <w:rPr>
          <w:rFonts w:hint="default" w:ascii="Times New Roman" w:hAnsi="Times New Roman" w:eastAsia="仿宋_GB2312" w:cs="Times New Roman"/>
          <w:spacing w:val="-28"/>
          <w:sz w:val="30"/>
          <w:szCs w:val="30"/>
        </w:rPr>
        <w:t xml:space="preserve">委托代理人（签字）：             </w:t>
      </w:r>
      <w:r>
        <w:rPr>
          <w:rFonts w:hint="eastAsia" w:ascii="Times New Roman" w:hAnsi="Times New Roman" w:eastAsia="仿宋_GB2312" w:cs="Times New Roman"/>
          <w:spacing w:val="-28"/>
          <w:sz w:val="30"/>
          <w:szCs w:val="30"/>
          <w:lang w:val="en-US" w:eastAsia="zh-CN"/>
        </w:rPr>
        <w:t xml:space="preserve">                </w:t>
      </w:r>
      <w:r>
        <w:rPr>
          <w:rFonts w:hint="default" w:ascii="Times New Roman" w:hAnsi="Times New Roman" w:eastAsia="仿宋_GB2312" w:cs="Times New Roman"/>
          <w:spacing w:val="-28"/>
          <w:sz w:val="30"/>
          <w:szCs w:val="30"/>
        </w:rPr>
        <w:t>委托代理人（签字）：</w:t>
      </w:r>
    </w:p>
    <w:p w14:paraId="0E5F721F">
      <w:pPr>
        <w:pStyle w:val="11"/>
        <w:keepNext w:val="0"/>
        <w:keepLines w:val="0"/>
        <w:pageBreakBefore w:val="0"/>
        <w:widowControl/>
        <w:kinsoku/>
        <w:wordWrap/>
        <w:overflowPunct/>
        <w:topLinePunct w:val="0"/>
        <w:autoSpaceDE/>
        <w:autoSpaceDN/>
        <w:bidi w:val="0"/>
        <w:adjustRightInd/>
        <w:snapToGrid/>
        <w:spacing w:line="800" w:lineRule="exact"/>
        <w:ind w:left="0" w:hanging="5720" w:hangingChars="2200"/>
        <w:jc w:val="both"/>
        <w:textAlignment w:val="auto"/>
        <w:rPr>
          <w:rFonts w:hint="default" w:ascii="Times New Roman" w:hAnsi="Times New Roman" w:eastAsia="仿宋_GB2312" w:cs="Times New Roman"/>
          <w:spacing w:val="-20"/>
          <w:sz w:val="30"/>
          <w:szCs w:val="30"/>
        </w:rPr>
      </w:pPr>
      <w:r>
        <w:rPr>
          <w:rFonts w:hint="default" w:ascii="Times New Roman" w:hAnsi="Times New Roman" w:eastAsia="仿宋_GB2312" w:cs="Times New Roman"/>
          <w:spacing w:val="-20"/>
          <w:sz w:val="30"/>
          <w:szCs w:val="30"/>
        </w:rPr>
        <w:t>送达地址：</w:t>
      </w:r>
      <w:r>
        <w:rPr>
          <w:rFonts w:hint="default" w:ascii="Times New Roman" w:hAnsi="Times New Roman" w:eastAsia="仿宋_GB2312" w:cs="Times New Roman"/>
          <w:sz w:val="30"/>
          <w:szCs w:val="30"/>
        </w:rPr>
        <w:t xml:space="preserve"> </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pacing w:val="-20"/>
          <w:sz w:val="30"/>
          <w:szCs w:val="30"/>
        </w:rPr>
        <w:t>送达地址：</w:t>
      </w:r>
    </w:p>
    <w:p w14:paraId="070D0190">
      <w:pPr>
        <w:pStyle w:val="11"/>
        <w:keepNext w:val="0"/>
        <w:keepLines w:val="0"/>
        <w:pageBreakBefore w:val="0"/>
        <w:widowControl/>
        <w:kinsoku/>
        <w:wordWrap/>
        <w:overflowPunct/>
        <w:topLinePunct w:val="0"/>
        <w:autoSpaceDE/>
        <w:autoSpaceDN/>
        <w:bidi w:val="0"/>
        <w:adjustRightInd/>
        <w:snapToGrid/>
        <w:spacing w:line="760" w:lineRule="exact"/>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联系电话：</w:t>
      </w:r>
      <w:r>
        <w:rPr>
          <w:rFonts w:hint="eastAsia" w:ascii="Times New Roman" w:hAnsi="Times New Roman" w:eastAsia="仿宋_GB2312" w:cs="Times New Roman"/>
          <w:sz w:val="30"/>
          <w:szCs w:val="30"/>
          <w:lang w:val="en-US" w:eastAsia="zh-CN"/>
        </w:rPr>
        <w:t>0769-22993839</w:t>
      </w:r>
      <w:r>
        <w:rPr>
          <w:rFonts w:hint="default" w:ascii="Times New Roman" w:hAnsi="Times New Roman" w:eastAsia="仿宋_GB2312" w:cs="Times New Roman"/>
          <w:sz w:val="30"/>
          <w:szCs w:val="30"/>
        </w:rPr>
        <w:t xml:space="preserve">            联系电话：</w:t>
      </w:r>
    </w:p>
    <w:p w14:paraId="1BE65404">
      <w:pPr>
        <w:pStyle w:val="4"/>
        <w:keepNext w:val="0"/>
        <w:keepLines w:val="0"/>
        <w:pageBreakBefore w:val="0"/>
        <w:widowControl w:val="0"/>
        <w:numPr>
          <w:ilvl w:val="0"/>
          <w:numId w:val="0"/>
        </w:numPr>
        <w:kinsoku/>
        <w:wordWrap/>
        <w:overflowPunct/>
        <w:topLinePunct w:val="0"/>
        <w:autoSpaceDE/>
        <w:autoSpaceDN/>
        <w:bidi w:val="0"/>
        <w:adjustRightInd/>
        <w:snapToGrid/>
        <w:spacing w:before="0" w:after="50" w:line="760" w:lineRule="exact"/>
        <w:jc w:val="left"/>
        <w:textAlignment w:val="auto"/>
        <w:rPr>
          <w:rFonts w:hint="default" w:ascii="Times New Roman" w:hAnsi="Times New Roman" w:eastAsia="仿宋_GB2312" w:cs="Times New Roman"/>
          <w:sz w:val="30"/>
          <w:szCs w:val="30"/>
        </w:rPr>
      </w:pPr>
    </w:p>
    <w:p w14:paraId="283B5428">
      <w:pPr>
        <w:pStyle w:val="4"/>
        <w:keepNext w:val="0"/>
        <w:keepLines w:val="0"/>
        <w:pageBreakBefore w:val="0"/>
        <w:widowControl w:val="0"/>
        <w:numPr>
          <w:ilvl w:val="0"/>
          <w:numId w:val="0"/>
        </w:numPr>
        <w:kinsoku/>
        <w:wordWrap/>
        <w:overflowPunct/>
        <w:topLinePunct w:val="0"/>
        <w:autoSpaceDE/>
        <w:autoSpaceDN/>
        <w:bidi w:val="0"/>
        <w:adjustRightInd/>
        <w:snapToGrid/>
        <w:spacing w:before="0" w:after="50" w:line="760" w:lineRule="exact"/>
        <w:jc w:val="left"/>
        <w:textAlignment w:val="auto"/>
        <w:rPr>
          <w:rFonts w:hint="default"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t>签订地点：东莞市</w:t>
      </w:r>
    </w:p>
    <w:p w14:paraId="401A44EA">
      <w:pPr>
        <w:pStyle w:val="4"/>
        <w:keepNext w:val="0"/>
        <w:keepLines w:val="0"/>
        <w:pageBreakBefore w:val="0"/>
        <w:widowControl w:val="0"/>
        <w:numPr>
          <w:ilvl w:val="0"/>
          <w:numId w:val="0"/>
        </w:numPr>
        <w:kinsoku/>
        <w:wordWrap/>
        <w:overflowPunct/>
        <w:topLinePunct w:val="0"/>
        <w:autoSpaceDE/>
        <w:autoSpaceDN/>
        <w:bidi w:val="0"/>
        <w:adjustRightInd/>
        <w:snapToGrid/>
        <w:spacing w:before="0" w:after="50" w:line="760" w:lineRule="exact"/>
        <w:jc w:val="left"/>
        <w:textAlignment w:val="auto"/>
        <w:rPr>
          <w:rFonts w:hint="default" w:ascii="宋体"/>
          <w:sz w:val="24"/>
          <w:szCs w:val="24"/>
          <w:u w:val="none"/>
          <w:lang w:val="en-US" w:eastAsia="zh-CN"/>
        </w:rPr>
      </w:pPr>
      <w:r>
        <w:rPr>
          <w:rFonts w:hint="default" w:ascii="Times New Roman" w:hAnsi="Times New Roman" w:eastAsia="仿宋_GB2312" w:cs="Times New Roman"/>
          <w:sz w:val="30"/>
          <w:szCs w:val="30"/>
        </w:rPr>
        <w:t xml:space="preserve">签订时间：  </w:t>
      </w:r>
      <w:r>
        <w:rPr>
          <w:rFonts w:hint="eastAsia"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rPr>
        <w:t xml:space="preserve">年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rPr>
        <w:t xml:space="preserve">月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rPr>
        <w:t xml:space="preserve">日     </w:t>
      </w:r>
      <w:r>
        <w:rPr>
          <w:rFonts w:hint="eastAsia" w:ascii="Times New Roman" w:hAnsi="Times New Roman" w:eastAsia="仿宋_GB2312" w:cs="Times New Roman"/>
          <w:sz w:val="30"/>
          <w:szCs w:val="30"/>
          <w:lang w:val="en-US" w:eastAsia="zh-CN"/>
        </w:rPr>
        <w:t xml:space="preserve">     </w:t>
      </w:r>
    </w:p>
    <w:sectPr>
      <w:footerReference r:id="rId5" w:type="default"/>
      <w:pgSz w:w="11906" w:h="16838"/>
      <w:pgMar w:top="1701" w:right="1304" w:bottom="1701" w:left="147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9CF5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A8A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35935">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535935">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354B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13C7C"/>
    <w:multiLevelType w:val="singleLevel"/>
    <w:tmpl w:val="7B113C7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6237B"/>
    <w:rsid w:val="01E23222"/>
    <w:rsid w:val="04F97E64"/>
    <w:rsid w:val="073C1638"/>
    <w:rsid w:val="07AA371F"/>
    <w:rsid w:val="0F415ADC"/>
    <w:rsid w:val="11E759EF"/>
    <w:rsid w:val="124E58B9"/>
    <w:rsid w:val="1844129D"/>
    <w:rsid w:val="188D0AF0"/>
    <w:rsid w:val="1B745391"/>
    <w:rsid w:val="1BA33E98"/>
    <w:rsid w:val="1D253FBC"/>
    <w:rsid w:val="1E8C5F02"/>
    <w:rsid w:val="1F002DC0"/>
    <w:rsid w:val="1F264A30"/>
    <w:rsid w:val="1F2E052B"/>
    <w:rsid w:val="1F56702C"/>
    <w:rsid w:val="1F722478"/>
    <w:rsid w:val="1F72B9D6"/>
    <w:rsid w:val="20727625"/>
    <w:rsid w:val="2227499D"/>
    <w:rsid w:val="25AC5A2A"/>
    <w:rsid w:val="27023E2A"/>
    <w:rsid w:val="274E7F69"/>
    <w:rsid w:val="27E92F63"/>
    <w:rsid w:val="29C45B32"/>
    <w:rsid w:val="2A320DC2"/>
    <w:rsid w:val="2B853740"/>
    <w:rsid w:val="2CB4420D"/>
    <w:rsid w:val="2DD81DEA"/>
    <w:rsid w:val="332232F7"/>
    <w:rsid w:val="33DF4C26"/>
    <w:rsid w:val="342767AF"/>
    <w:rsid w:val="3918639C"/>
    <w:rsid w:val="393402A2"/>
    <w:rsid w:val="3A4F2C33"/>
    <w:rsid w:val="3A724FC0"/>
    <w:rsid w:val="3BE83546"/>
    <w:rsid w:val="3C0E3C9F"/>
    <w:rsid w:val="3D103E93"/>
    <w:rsid w:val="3D3357E9"/>
    <w:rsid w:val="3DA51E2F"/>
    <w:rsid w:val="3FA67C6B"/>
    <w:rsid w:val="4079068D"/>
    <w:rsid w:val="43804D77"/>
    <w:rsid w:val="441E6A1A"/>
    <w:rsid w:val="46647B95"/>
    <w:rsid w:val="48226861"/>
    <w:rsid w:val="486A27DF"/>
    <w:rsid w:val="4B1E141A"/>
    <w:rsid w:val="4B792EC5"/>
    <w:rsid w:val="4ECA782A"/>
    <w:rsid w:val="50975585"/>
    <w:rsid w:val="53F31E9F"/>
    <w:rsid w:val="5630163F"/>
    <w:rsid w:val="59205E5E"/>
    <w:rsid w:val="5B15221B"/>
    <w:rsid w:val="60011A2A"/>
    <w:rsid w:val="630277CC"/>
    <w:rsid w:val="64B81590"/>
    <w:rsid w:val="65E30AB9"/>
    <w:rsid w:val="65E669BB"/>
    <w:rsid w:val="66E06ABE"/>
    <w:rsid w:val="67F10FEB"/>
    <w:rsid w:val="682A7955"/>
    <w:rsid w:val="68341550"/>
    <w:rsid w:val="68EA08A8"/>
    <w:rsid w:val="691624FF"/>
    <w:rsid w:val="6D7D54FA"/>
    <w:rsid w:val="74CE584F"/>
    <w:rsid w:val="791B664B"/>
    <w:rsid w:val="7CBB403C"/>
    <w:rsid w:val="7DFF8C49"/>
    <w:rsid w:val="972F77CC"/>
    <w:rsid w:val="B7EB4501"/>
    <w:rsid w:val="BFEFB67E"/>
    <w:rsid w:val="CBEF7EFC"/>
    <w:rsid w:val="D5B90533"/>
    <w:rsid w:val="DF7F1E25"/>
    <w:rsid w:val="FB7DFE01"/>
    <w:rsid w:val="FBFF9081"/>
    <w:rsid w:val="FEBCFC25"/>
    <w:rsid w:val="FFDE8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0"/>
    <w:pPr>
      <w:tabs>
        <w:tab w:val="left" w:pos="2079"/>
      </w:tabs>
    </w:pPr>
    <w:rPr>
      <w:rFonts w:ascii="仿宋" w:hAnsi="仿宋" w:eastAsia="仿宋"/>
      <w:snapToGrid/>
      <w:kern w:val="2"/>
      <w:szCs w:val="20"/>
    </w:rPr>
  </w:style>
  <w:style w:type="paragraph" w:styleId="3">
    <w:name w:val="annotation text"/>
    <w:basedOn w:val="1"/>
    <w:qFormat/>
    <w:uiPriority w:val="0"/>
    <w:pPr>
      <w:jc w:val="left"/>
    </w:pPr>
  </w:style>
  <w:style w:type="paragraph" w:styleId="4">
    <w:name w:val="Body Text Indent"/>
    <w:basedOn w:val="1"/>
    <w:qFormat/>
    <w:uiPriority w:val="0"/>
    <w:pPr>
      <w:spacing w:before="360" w:line="520" w:lineRule="exact"/>
      <w:ind w:firstLine="624"/>
    </w:pPr>
    <w:rPr>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rPr>
      <w:lang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表格文字"/>
    <w:basedOn w:val="1"/>
    <w:qFormat/>
    <w:uiPriority w:val="0"/>
    <w:pPr>
      <w:spacing w:before="25" w:after="25" w:line="300" w:lineRule="auto"/>
    </w:pPr>
    <w:rPr>
      <w:rFonts w:ascii="宋体" w:hAnsi="宋体" w:eastAsia="宋体" w:cs="Times New Roman"/>
      <w:spacing w:val="10"/>
      <w:kern w:val="0"/>
      <w:sz w:val="24"/>
      <w:szCs w:val="20"/>
    </w:rPr>
  </w:style>
  <w:style w:type="paragraph" w:customStyle="1" w:styleId="11">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181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2023-04-17T23:07:00Z</dcterms:created>
  <dc:creator>Administrator</dc:creator>
  <cp:lastModifiedBy>WJE</cp:lastModifiedBy>
  <cp:lastPrinted>2026-07-06T22:16:00Z</cp:lastPrinted>
  <dcterms:modified xsi:type="dcterms:W3CDTF">2026-07-28T01:22:19Z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3FEE8AAED6344A33A5FE0FB667B7DF7F_13</vt:lpwstr>
  </property>
</Properties>
</file>