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423C2">
      <w:pPr>
        <w:pStyle w:val="8"/>
        <w:shd w:val="clear"/>
        <w:tabs>
          <w:tab w:val="right" w:leader="dot" w:pos="15398"/>
        </w:tabs>
        <w:rPr>
          <w:rFonts w:hint="default" w:ascii="Times New Roman" w:hAnsi="Times New Roman" w:cs="Times New Roman"/>
          <w:color w:val="auto"/>
          <w:highlight w:val="none"/>
          <w:lang w:val="en"/>
        </w:rPr>
      </w:pPr>
      <w:bookmarkStart w:id="0" w:name="_Toc13449"/>
    </w:p>
    <w:p w14:paraId="4999FEFC">
      <w:pPr>
        <w:pStyle w:val="8"/>
        <w:shd w:val="clear"/>
        <w:tabs>
          <w:tab w:val="right" w:leader="dot" w:pos="15398"/>
        </w:tabs>
        <w:rPr>
          <w:rFonts w:hint="default" w:ascii="Times New Roman" w:hAnsi="Times New Roman" w:cs="Times New Roman"/>
          <w:color w:val="auto"/>
          <w:sz w:val="42"/>
          <w:szCs w:val="42"/>
          <w:highlight w:val="none"/>
        </w:rPr>
      </w:pPr>
    </w:p>
    <w:p w14:paraId="5607193B">
      <w:pPr>
        <w:pStyle w:val="8"/>
        <w:shd w:val="clear"/>
        <w:tabs>
          <w:tab w:val="left" w:pos="13774"/>
        </w:tabs>
        <w:jc w:val="left"/>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ab/>
      </w:r>
    </w:p>
    <w:p w14:paraId="34AC7C8A">
      <w:pPr>
        <w:pStyle w:val="8"/>
        <w:shd w:val="clear"/>
        <w:tabs>
          <w:tab w:val="right" w:leader="dot" w:pos="15398"/>
        </w:tabs>
        <w:jc w:val="center"/>
        <w:rPr>
          <w:rFonts w:hint="default" w:ascii="Times New Roman" w:hAnsi="Times New Roman" w:eastAsia="方正小标宋简体" w:cs="Times New Roman"/>
          <w:color w:val="auto"/>
          <w:sz w:val="42"/>
          <w:szCs w:val="42"/>
          <w:highlight w:val="none"/>
        </w:rPr>
      </w:pPr>
      <w:r>
        <w:rPr>
          <w:rFonts w:hint="default" w:ascii="Times New Roman" w:hAnsi="Times New Roman" w:eastAsia="方正小标宋简体" w:cs="Times New Roman"/>
          <w:color w:val="auto"/>
          <w:sz w:val="42"/>
          <w:szCs w:val="42"/>
          <w:highlight w:val="none"/>
        </w:rPr>
        <w:t>东莞市城市管理和综合执法局行政处罚自由裁量标准</w:t>
      </w:r>
    </w:p>
    <w:p w14:paraId="7FD764F4">
      <w:pPr>
        <w:jc w:val="center"/>
        <w:rPr>
          <w:rFonts w:hint="default" w:ascii="Times New Roman" w:hAnsi="Times New Roman" w:cs="Times New Roman"/>
          <w:sz w:val="32"/>
          <w:szCs w:val="32"/>
          <w:lang w:val="en"/>
        </w:rPr>
      </w:pPr>
      <w:r>
        <w:rPr>
          <w:rFonts w:hint="default" w:ascii="Times New Roman" w:hAnsi="Times New Roman" w:eastAsia="方正小标宋简体" w:cs="Times New Roman"/>
          <w:color w:val="auto"/>
          <w:sz w:val="32"/>
          <w:szCs w:val="32"/>
          <w:highlight w:val="none"/>
          <w:lang w:val="en"/>
        </w:rPr>
        <w:t>（2024年</w:t>
      </w:r>
      <w:r>
        <w:rPr>
          <w:rFonts w:hint="eastAsia" w:ascii="Times New Roman" w:hAnsi="Times New Roman" w:eastAsia="方正小标宋简体" w:cs="Times New Roman"/>
          <w:color w:val="auto"/>
          <w:sz w:val="32"/>
          <w:szCs w:val="32"/>
          <w:highlight w:val="none"/>
          <w:lang w:val="en" w:eastAsia="zh-CN"/>
        </w:rPr>
        <w:t>修订</w:t>
      </w:r>
      <w:r>
        <w:rPr>
          <w:rFonts w:hint="default" w:ascii="Times New Roman" w:hAnsi="Times New Roman" w:eastAsia="方正小标宋简体" w:cs="Times New Roman"/>
          <w:color w:val="auto"/>
          <w:sz w:val="32"/>
          <w:szCs w:val="32"/>
          <w:highlight w:val="none"/>
          <w:lang w:val="en"/>
        </w:rPr>
        <w:t>）</w:t>
      </w:r>
    </w:p>
    <w:p w14:paraId="557ACEA9">
      <w:pPr>
        <w:shd w:val="clear"/>
        <w:rPr>
          <w:rFonts w:hint="default" w:ascii="Times New Roman" w:hAnsi="Times New Roman" w:eastAsia="仿宋_GB2312" w:cs="Times New Roman"/>
          <w:color w:val="auto"/>
          <w:sz w:val="28"/>
          <w:szCs w:val="28"/>
          <w:highlight w:val="none"/>
        </w:rPr>
      </w:pPr>
    </w:p>
    <w:sdt>
      <w:sdtPr>
        <w:rPr>
          <w:rFonts w:ascii="宋体" w:hAnsi="宋体" w:eastAsia="宋体" w:cstheme="minorBidi"/>
          <w:kern w:val="2"/>
          <w:sz w:val="21"/>
          <w:szCs w:val="24"/>
          <w:lang w:val="en-US" w:eastAsia="zh-CN" w:bidi="ar-SA"/>
        </w:rPr>
        <w:id w:val="60568585"/>
        <w:docPartObj>
          <w:docPartGallery w:val="Table of Contents"/>
          <w:docPartUnique/>
        </w:docPartObj>
      </w:sdtPr>
      <w:sdtEndPr>
        <w:rPr>
          <w:rFonts w:hint="default" w:ascii="Times New Roman" w:hAnsi="Times New Roman" w:cs="Times New Roman" w:eastAsiaTheme="minorEastAsia"/>
          <w:color w:val="auto"/>
          <w:kern w:val="2"/>
          <w:sz w:val="21"/>
          <w:szCs w:val="30"/>
          <w:highlight w:val="none"/>
          <w:lang w:val="en-US" w:eastAsia="zh-CN" w:bidi="ar-SA"/>
        </w:rPr>
      </w:sdtEndPr>
      <w:sdtContent>
        <w:p w14:paraId="54BB15E7">
          <w:pPr>
            <w:pStyle w:val="7"/>
            <w:keepNext w:val="0"/>
            <w:keepLines w:val="0"/>
            <w:pageBreakBefore w:val="0"/>
            <w:widowControl w:val="0"/>
            <w:tabs>
              <w:tab w:val="right" w:leader="dot" w:pos="15398"/>
            </w:tabs>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0"/>
              <w:szCs w:val="30"/>
            </w:rPr>
          </w:pPr>
          <w:r>
            <w:rPr>
              <w:rFonts w:hint="default" w:ascii="Times New Roman" w:hAnsi="Times New Roman" w:cs="Times New Roman" w:eastAsiaTheme="minorEastAsia"/>
              <w:color w:val="auto"/>
              <w:sz w:val="30"/>
              <w:szCs w:val="30"/>
              <w:highlight w:val="none"/>
            </w:rPr>
            <w:fldChar w:fldCharType="begin"/>
          </w:r>
          <w:r>
            <w:rPr>
              <w:rFonts w:hint="default" w:ascii="Times New Roman" w:hAnsi="Times New Roman" w:cs="Times New Roman" w:eastAsiaTheme="minorEastAsia"/>
              <w:color w:val="auto"/>
              <w:sz w:val="30"/>
              <w:szCs w:val="30"/>
              <w:highlight w:val="none"/>
            </w:rPr>
            <w:instrText xml:space="preserve">TOC \o "1-3" \h \u </w:instrText>
          </w:r>
          <w:r>
            <w:rPr>
              <w:rFonts w:hint="default" w:ascii="Times New Roman" w:hAnsi="Times New Roman" w:cs="Times New Roman" w:eastAsia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_Toc1155180315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rPr>
            <w:t>一、市容环境卫生管理（第1项-第</w:t>
          </w:r>
          <w:r>
            <w:rPr>
              <w:rFonts w:hint="eastAsia" w:asciiTheme="minorEastAsia" w:hAnsiTheme="minorEastAsia" w:eastAsiaTheme="minorEastAsia" w:cstheme="minorEastAsia"/>
              <w:sz w:val="30"/>
              <w:szCs w:val="30"/>
              <w:lang w:val="en-US" w:eastAsia="zh-CN"/>
            </w:rPr>
            <w:t>75</w:t>
          </w:r>
          <w:r>
            <w:rPr>
              <w:rFonts w:hint="eastAsia" w:asciiTheme="minorEastAsia" w:hAnsiTheme="minorEastAsia" w:eastAsiaTheme="minorEastAsia" w:cstheme="minorEastAsia"/>
              <w:sz w:val="30"/>
              <w:szCs w:val="30"/>
            </w:rPr>
            <w:t>项，共</w:t>
          </w:r>
          <w:r>
            <w:rPr>
              <w:rFonts w:hint="eastAsia" w:asciiTheme="minorEastAsia" w:hAnsiTheme="minorEastAsia" w:eastAsiaTheme="minorEastAsia" w:cstheme="minorEastAsia"/>
              <w:sz w:val="30"/>
              <w:szCs w:val="30"/>
              <w:lang w:val="en-US" w:eastAsia="zh-CN"/>
            </w:rPr>
            <w:t>75</w:t>
          </w:r>
          <w:r>
            <w:rPr>
              <w:rFonts w:hint="eastAsia" w:asciiTheme="minorEastAsia" w:hAnsiTheme="minorEastAsia" w:eastAsiaTheme="minorEastAsia" w:cstheme="minorEastAsia"/>
              <w:sz w:val="30"/>
              <w:szCs w:val="30"/>
            </w:rPr>
            <w:t>项）</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_Toc1155180315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14:paraId="37C36936">
          <w:pPr>
            <w:pStyle w:val="8"/>
            <w:keepNext w:val="0"/>
            <w:keepLines w:val="0"/>
            <w:pageBreakBefore w:val="0"/>
            <w:widowControl w:val="0"/>
            <w:tabs>
              <w:tab w:val="right" w:leader="dot" w:pos="15398"/>
            </w:tabs>
            <w:kinsoku/>
            <w:wordWrap/>
            <w:overflowPunct/>
            <w:topLinePunct w:val="0"/>
            <w:autoSpaceDE/>
            <w:autoSpaceDN/>
            <w:bidi w:val="0"/>
            <w:adjustRightInd/>
            <w:snapToGrid/>
            <w:ind w:left="0" w:leftChars="0" w:firstLine="0" w:firstLineChars="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_Toc1031166387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rPr>
            <w:t>二、生态环境管理（第</w:t>
          </w:r>
          <w:r>
            <w:rPr>
              <w:rFonts w:hint="eastAsia" w:asciiTheme="minorEastAsia" w:hAnsiTheme="minorEastAsia" w:eastAsiaTheme="minorEastAsia" w:cstheme="minorEastAsia"/>
              <w:sz w:val="30"/>
              <w:szCs w:val="30"/>
              <w:lang w:val="en-US" w:eastAsia="zh-CN"/>
            </w:rPr>
            <w:t>76</w:t>
          </w:r>
          <w:r>
            <w:rPr>
              <w:rFonts w:hint="eastAsia" w:asciiTheme="minorEastAsia" w:hAnsiTheme="minorEastAsia" w:eastAsiaTheme="minorEastAsia" w:cstheme="minorEastAsia"/>
              <w:sz w:val="30"/>
              <w:szCs w:val="30"/>
            </w:rPr>
            <w:t>项-第</w:t>
          </w:r>
          <w:r>
            <w:rPr>
              <w:rFonts w:hint="eastAsia" w:asciiTheme="minorEastAsia" w:hAnsiTheme="minorEastAsia" w:eastAsiaTheme="minorEastAsia" w:cstheme="minorEastAsia"/>
              <w:sz w:val="30"/>
              <w:szCs w:val="30"/>
              <w:lang w:val="en-US" w:eastAsia="zh-CN"/>
            </w:rPr>
            <w:t>95</w:t>
          </w:r>
          <w:r>
            <w:rPr>
              <w:rFonts w:hint="eastAsia" w:asciiTheme="minorEastAsia" w:hAnsiTheme="minorEastAsia" w:eastAsiaTheme="minorEastAsia" w:cstheme="minorEastAsia"/>
              <w:sz w:val="30"/>
              <w:szCs w:val="30"/>
            </w:rPr>
            <w:t>项，共</w:t>
          </w:r>
          <w:r>
            <w:rPr>
              <w:rFonts w:hint="eastAsia" w:asciiTheme="minorEastAsia" w:hAnsiTheme="minorEastAsia" w:eastAsiaTheme="minorEastAsia" w:cstheme="minorEastAsia"/>
              <w:sz w:val="30"/>
              <w:szCs w:val="30"/>
              <w:lang w:val="en-US" w:eastAsia="zh-CN"/>
            </w:rPr>
            <w:t>20</w:t>
          </w:r>
          <w:r>
            <w:rPr>
              <w:rFonts w:hint="eastAsia" w:asciiTheme="minorEastAsia" w:hAnsiTheme="minorEastAsia" w:eastAsiaTheme="minorEastAsia" w:cstheme="minorEastAsia"/>
              <w:sz w:val="30"/>
              <w:szCs w:val="30"/>
            </w:rPr>
            <w:t>项）</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_Toc1031166387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42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14:paraId="3A96FEA4">
          <w:pPr>
            <w:pStyle w:val="8"/>
            <w:keepNext w:val="0"/>
            <w:keepLines w:val="0"/>
            <w:pageBreakBefore w:val="0"/>
            <w:widowControl w:val="0"/>
            <w:tabs>
              <w:tab w:val="right" w:leader="dot" w:pos="15398"/>
            </w:tabs>
            <w:kinsoku/>
            <w:wordWrap/>
            <w:overflowPunct/>
            <w:topLinePunct w:val="0"/>
            <w:autoSpaceDE/>
            <w:autoSpaceDN/>
            <w:bidi w:val="0"/>
            <w:adjustRightInd/>
            <w:snapToGrid/>
            <w:ind w:left="0" w:leftChars="0" w:firstLine="0" w:firstLineChars="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_Toc1177419109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rPr>
            <w:t>三、市场监督管理（第</w:t>
          </w:r>
          <w:r>
            <w:rPr>
              <w:rFonts w:hint="eastAsia" w:asciiTheme="minorEastAsia" w:hAnsiTheme="minorEastAsia" w:eastAsiaTheme="minorEastAsia" w:cstheme="minorEastAsia"/>
              <w:sz w:val="30"/>
              <w:szCs w:val="30"/>
              <w:lang w:val="en-US" w:eastAsia="zh-CN"/>
            </w:rPr>
            <w:t>96</w:t>
          </w:r>
          <w:r>
            <w:rPr>
              <w:rFonts w:hint="eastAsia" w:asciiTheme="minorEastAsia" w:hAnsiTheme="minorEastAsia" w:eastAsiaTheme="minorEastAsia" w:cstheme="minorEastAsia"/>
              <w:sz w:val="30"/>
              <w:szCs w:val="30"/>
            </w:rPr>
            <w:t>项，共1项）</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_Toc1177419109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52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14:paraId="63379C53">
          <w:pPr>
            <w:pStyle w:val="8"/>
            <w:keepNext w:val="0"/>
            <w:keepLines w:val="0"/>
            <w:pageBreakBefore w:val="0"/>
            <w:widowControl w:val="0"/>
            <w:tabs>
              <w:tab w:val="right" w:leader="dot" w:pos="15398"/>
            </w:tabs>
            <w:kinsoku/>
            <w:wordWrap/>
            <w:overflowPunct/>
            <w:topLinePunct w:val="0"/>
            <w:autoSpaceDE/>
            <w:autoSpaceDN/>
            <w:bidi w:val="0"/>
            <w:adjustRightInd/>
            <w:snapToGrid/>
            <w:ind w:left="0" w:leftChars="0" w:firstLine="0" w:firstLineChars="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_Toc1204442690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lang w:eastAsia="zh-CN"/>
            </w:rPr>
            <w:t>四</w:t>
          </w:r>
          <w:r>
            <w:rPr>
              <w:rFonts w:hint="eastAsia" w:asciiTheme="minorEastAsia" w:hAnsiTheme="minorEastAsia" w:eastAsiaTheme="minorEastAsia" w:cstheme="minorEastAsia"/>
              <w:sz w:val="30"/>
              <w:szCs w:val="30"/>
            </w:rPr>
            <w:t>、市政管理（第</w:t>
          </w:r>
          <w:r>
            <w:rPr>
              <w:rFonts w:hint="eastAsia" w:asciiTheme="minorEastAsia" w:hAnsiTheme="minorEastAsia" w:eastAsiaTheme="minorEastAsia" w:cstheme="minorEastAsia"/>
              <w:sz w:val="30"/>
              <w:szCs w:val="30"/>
              <w:lang w:val="en-US" w:eastAsia="zh-CN"/>
            </w:rPr>
            <w:t>97</w:t>
          </w:r>
          <w:r>
            <w:rPr>
              <w:rFonts w:hint="eastAsia" w:asciiTheme="minorEastAsia" w:hAnsiTheme="minorEastAsia" w:eastAsiaTheme="minorEastAsia" w:cstheme="minorEastAsia"/>
              <w:sz w:val="30"/>
              <w:szCs w:val="30"/>
            </w:rPr>
            <w:t>项-第</w:t>
          </w:r>
          <w:r>
            <w:rPr>
              <w:rFonts w:hint="eastAsia" w:asciiTheme="minorEastAsia" w:hAnsiTheme="minorEastAsia" w:eastAsiaTheme="minorEastAsia" w:cstheme="minorEastAsia"/>
              <w:sz w:val="30"/>
              <w:szCs w:val="30"/>
              <w:lang w:val="en-US" w:eastAsia="zh-CN"/>
            </w:rPr>
            <w:t>118</w:t>
          </w:r>
          <w:r>
            <w:rPr>
              <w:rFonts w:hint="eastAsia" w:asciiTheme="minorEastAsia" w:hAnsiTheme="minorEastAsia" w:eastAsiaTheme="minorEastAsia" w:cstheme="minorEastAsia"/>
              <w:sz w:val="30"/>
              <w:szCs w:val="30"/>
            </w:rPr>
            <w:t>项，共</w:t>
          </w:r>
          <w:r>
            <w:rPr>
              <w:rFonts w:hint="eastAsia" w:asciiTheme="minorEastAsia" w:hAnsiTheme="minorEastAsia" w:eastAsiaTheme="minorEastAsia" w:cstheme="minorEastAsia"/>
              <w:sz w:val="30"/>
              <w:szCs w:val="30"/>
              <w:lang w:val="en-US" w:eastAsia="zh-CN"/>
            </w:rPr>
            <w:t>22</w:t>
          </w:r>
          <w:r>
            <w:rPr>
              <w:rFonts w:hint="eastAsia" w:asciiTheme="minorEastAsia" w:hAnsiTheme="minorEastAsia" w:eastAsiaTheme="minorEastAsia" w:cstheme="minorEastAsia"/>
              <w:sz w:val="30"/>
              <w:szCs w:val="30"/>
            </w:rPr>
            <w:t>项）</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_Toc1204442690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53</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14:paraId="04FEA57A">
          <w:pPr>
            <w:pStyle w:val="7"/>
            <w:keepNext w:val="0"/>
            <w:keepLines w:val="0"/>
            <w:pageBreakBefore w:val="0"/>
            <w:widowControl w:val="0"/>
            <w:tabs>
              <w:tab w:val="right" w:leader="dot" w:pos="15398"/>
            </w:tabs>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_Toc380234861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lang w:eastAsia="zh-CN"/>
            </w:rPr>
            <w:t>五、燃气管理（第119项-第159项，共41项）</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_Toc380234861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63</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14:paraId="000D4C0A">
          <w:pPr>
            <w:pStyle w:val="8"/>
            <w:keepNext w:val="0"/>
            <w:keepLines w:val="0"/>
            <w:pageBreakBefore w:val="0"/>
            <w:widowControl w:val="0"/>
            <w:tabs>
              <w:tab w:val="right" w:leader="dot" w:pos="15398"/>
            </w:tabs>
            <w:kinsoku/>
            <w:wordWrap/>
            <w:overflowPunct/>
            <w:topLinePunct w:val="0"/>
            <w:autoSpaceDE/>
            <w:autoSpaceDN/>
            <w:bidi w:val="0"/>
            <w:adjustRightInd/>
            <w:snapToGrid/>
            <w:ind w:left="0" w:leftChars="0" w:firstLine="0" w:firstLineChars="0"/>
            <w:textAlignment w:val="auto"/>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_Toc1338706586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lang w:val="en-US" w:eastAsia="zh-CN"/>
            </w:rPr>
            <w:t>六</w:t>
          </w:r>
          <w:r>
            <w:rPr>
              <w:rFonts w:hint="eastAsia" w:asciiTheme="minorEastAsia" w:hAnsiTheme="minorEastAsia" w:eastAsiaTheme="minorEastAsia" w:cstheme="minorEastAsia"/>
              <w:sz w:val="30"/>
              <w:szCs w:val="30"/>
            </w:rPr>
            <w:t>、城乡规划管理（第</w:t>
          </w:r>
          <w:r>
            <w:rPr>
              <w:rFonts w:hint="eastAsia" w:asciiTheme="minorEastAsia" w:hAnsiTheme="minorEastAsia" w:eastAsiaTheme="minorEastAsia" w:cstheme="minorEastAsia"/>
              <w:sz w:val="30"/>
              <w:szCs w:val="30"/>
              <w:lang w:val="en-US" w:eastAsia="zh-CN"/>
            </w:rPr>
            <w:t>160</w:t>
          </w:r>
          <w:r>
            <w:rPr>
              <w:rFonts w:hint="eastAsia" w:asciiTheme="minorEastAsia" w:hAnsiTheme="minorEastAsia" w:eastAsiaTheme="minorEastAsia" w:cstheme="minorEastAsia"/>
              <w:sz w:val="30"/>
              <w:szCs w:val="30"/>
            </w:rPr>
            <w:t>项-第</w:t>
          </w:r>
          <w:r>
            <w:rPr>
              <w:rFonts w:hint="eastAsia" w:asciiTheme="minorEastAsia" w:hAnsiTheme="minorEastAsia" w:eastAsiaTheme="minorEastAsia" w:cstheme="minorEastAsia"/>
              <w:sz w:val="30"/>
              <w:szCs w:val="30"/>
              <w:lang w:val="en-US" w:eastAsia="zh-CN"/>
            </w:rPr>
            <w:t>165</w:t>
          </w:r>
          <w:r>
            <w:rPr>
              <w:rFonts w:hint="eastAsia" w:asciiTheme="minorEastAsia" w:hAnsiTheme="minorEastAsia" w:eastAsiaTheme="minorEastAsia" w:cstheme="minorEastAsia"/>
              <w:sz w:val="30"/>
              <w:szCs w:val="30"/>
            </w:rPr>
            <w:t>项，共</w:t>
          </w:r>
          <w:r>
            <w:rPr>
              <w:rFonts w:hint="eastAsia" w:asciiTheme="minorEastAsia" w:hAnsiTheme="minorEastAsia" w:eastAsiaTheme="minorEastAsia" w:cstheme="minorEastAsia"/>
              <w:sz w:val="30"/>
              <w:szCs w:val="30"/>
              <w:lang w:val="en-US" w:eastAsia="zh-CN"/>
            </w:rPr>
            <w:t>6</w:t>
          </w:r>
          <w:r>
            <w:rPr>
              <w:rFonts w:hint="eastAsia" w:asciiTheme="minorEastAsia" w:hAnsiTheme="minorEastAsia" w:eastAsiaTheme="minorEastAsia" w:cstheme="minorEastAsia"/>
              <w:sz w:val="30"/>
              <w:szCs w:val="30"/>
            </w:rPr>
            <w:t>项）</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_Toc1338706586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83</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14:paraId="05581A50">
          <w:pPr>
            <w:pStyle w:val="8"/>
            <w:keepNext w:val="0"/>
            <w:keepLines w:val="0"/>
            <w:pageBreakBefore w:val="0"/>
            <w:widowControl w:val="0"/>
            <w:tabs>
              <w:tab w:val="right" w:leader="dot" w:pos="15398"/>
            </w:tabs>
            <w:kinsoku/>
            <w:wordWrap/>
            <w:overflowPunct/>
            <w:topLinePunct w:val="0"/>
            <w:autoSpaceDE/>
            <w:autoSpaceDN/>
            <w:bidi w:val="0"/>
            <w:adjustRightInd/>
            <w:snapToGrid/>
            <w:ind w:left="420" w:leftChars="200" w:firstLine="420" w:firstLineChars="200"/>
            <w:textAlignment w:val="auto"/>
            <w:rPr>
              <w:rFonts w:hint="default" w:ascii="Times New Roman" w:hAnsi="Times New Roman" w:cs="Times New Roman" w:eastAsiaTheme="minorEastAsia"/>
              <w:color w:val="auto"/>
              <w:sz w:val="30"/>
              <w:szCs w:val="30"/>
              <w:highlight w:val="none"/>
            </w:rPr>
          </w:pPr>
          <w:r>
            <w:rPr>
              <w:rFonts w:hint="default" w:ascii="Times New Roman" w:hAnsi="Times New Roman" w:cs="Times New Roman" w:eastAsiaTheme="minorEastAsia"/>
              <w:color w:val="auto"/>
              <w:szCs w:val="30"/>
              <w:highlight w:val="none"/>
            </w:rPr>
            <w:fldChar w:fldCharType="end"/>
          </w:r>
        </w:p>
      </w:sdtContent>
    </w:sdt>
    <w:p w14:paraId="5BBCAA01">
      <w:pPr>
        <w:shd w:val="clear"/>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br w:type="page"/>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
        <w:gridCol w:w="357"/>
        <w:gridCol w:w="3"/>
        <w:gridCol w:w="1265"/>
        <w:gridCol w:w="6"/>
        <w:gridCol w:w="4034"/>
        <w:gridCol w:w="9"/>
        <w:gridCol w:w="4044"/>
        <w:gridCol w:w="12"/>
        <w:gridCol w:w="534"/>
        <w:gridCol w:w="12"/>
        <w:gridCol w:w="1477"/>
        <w:gridCol w:w="154"/>
        <w:gridCol w:w="12"/>
        <w:gridCol w:w="1669"/>
        <w:gridCol w:w="12"/>
        <w:gridCol w:w="605"/>
        <w:gridCol w:w="188"/>
        <w:gridCol w:w="12"/>
        <w:gridCol w:w="1015"/>
      </w:tblGrid>
      <w:tr w14:paraId="698C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5000" w:type="pct"/>
            <w:gridSpan w:val="20"/>
            <w:vMerge w:val="restart"/>
            <w:shd w:val="clear" w:color="auto" w:fill="auto"/>
            <w:tcMar>
              <w:top w:w="15" w:type="dxa"/>
              <w:left w:w="15" w:type="dxa"/>
              <w:right w:w="15" w:type="dxa"/>
            </w:tcMar>
            <w:vAlign w:val="center"/>
          </w:tcPr>
          <w:p w14:paraId="2B5F2327">
            <w:pPr>
              <w:widowControl/>
              <w:shd w:val="clear"/>
              <w:jc w:val="center"/>
              <w:textAlignment w:val="center"/>
              <w:rPr>
                <w:rFonts w:hint="default" w:ascii="Times New Roman" w:hAnsi="Times New Roman" w:cs="Times New Roman" w:eastAsiaTheme="minorEastAsia"/>
                <w:color w:val="auto"/>
                <w:szCs w:val="18"/>
                <w:highlight w:val="none"/>
              </w:rPr>
            </w:pPr>
            <w:r>
              <w:rPr>
                <w:rFonts w:hint="default" w:ascii="Times New Roman" w:hAnsi="Times New Roman" w:cs="Times New Roman" w:eastAsiaTheme="minorEastAsia"/>
                <w:b/>
                <w:bCs/>
                <w:color w:val="auto"/>
                <w:sz w:val="28"/>
                <w:szCs w:val="28"/>
                <w:highlight w:val="none"/>
              </w:rPr>
              <w:t>东莞市城市管理和综合执法局行政处罚自由裁量标准</w:t>
            </w:r>
            <w:bookmarkEnd w:id="0"/>
          </w:p>
        </w:tc>
      </w:tr>
      <w:tr w14:paraId="09BA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000" w:type="pct"/>
            <w:gridSpan w:val="20"/>
            <w:vMerge w:val="continue"/>
            <w:shd w:val="clear" w:color="auto" w:fill="auto"/>
            <w:tcMar>
              <w:top w:w="15" w:type="dxa"/>
              <w:left w:w="15" w:type="dxa"/>
              <w:right w:w="15" w:type="dxa"/>
            </w:tcMar>
            <w:vAlign w:val="center"/>
          </w:tcPr>
          <w:p w14:paraId="68D9D896">
            <w:pPr>
              <w:shd w:val="clear"/>
              <w:jc w:val="center"/>
              <w:rPr>
                <w:rFonts w:hint="default" w:ascii="Times New Roman" w:hAnsi="Times New Roman" w:cs="Times New Roman" w:eastAsiaTheme="minorEastAsia"/>
                <w:color w:val="auto"/>
                <w:sz w:val="18"/>
                <w:szCs w:val="18"/>
                <w:highlight w:val="none"/>
              </w:rPr>
            </w:pPr>
          </w:p>
        </w:tc>
      </w:tr>
      <w:tr w14:paraId="5B51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000" w:type="pct"/>
            <w:gridSpan w:val="20"/>
            <w:vMerge w:val="continue"/>
            <w:shd w:val="clear" w:color="auto" w:fill="auto"/>
            <w:tcMar>
              <w:top w:w="15" w:type="dxa"/>
              <w:left w:w="15" w:type="dxa"/>
              <w:right w:w="15" w:type="dxa"/>
            </w:tcMar>
            <w:vAlign w:val="center"/>
          </w:tcPr>
          <w:p w14:paraId="047B217C">
            <w:pPr>
              <w:shd w:val="clear"/>
              <w:jc w:val="center"/>
              <w:rPr>
                <w:rFonts w:hint="default" w:ascii="Times New Roman" w:hAnsi="Times New Roman" w:cs="Times New Roman" w:eastAsiaTheme="minorEastAsia"/>
                <w:color w:val="auto"/>
                <w:sz w:val="18"/>
                <w:szCs w:val="18"/>
                <w:highlight w:val="none"/>
              </w:rPr>
            </w:pPr>
          </w:p>
        </w:tc>
      </w:tr>
      <w:tr w14:paraId="25D1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117" w:type="pct"/>
            <w:gridSpan w:val="2"/>
            <w:shd w:val="clear" w:color="auto" w:fill="auto"/>
            <w:tcMar>
              <w:top w:w="15" w:type="dxa"/>
              <w:left w:w="15" w:type="dxa"/>
              <w:right w:w="15" w:type="dxa"/>
            </w:tcMar>
            <w:vAlign w:val="center"/>
          </w:tcPr>
          <w:p w14:paraId="723DBBA8">
            <w:pPr>
              <w:widowControl/>
              <w:shd w:val="clear"/>
              <w:jc w:val="center"/>
              <w:textAlignment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kern w:val="0"/>
                <w:szCs w:val="21"/>
                <w:highlight w:val="none"/>
              </w:rPr>
              <w:t>序号</w:t>
            </w:r>
          </w:p>
        </w:tc>
        <w:tc>
          <w:tcPr>
            <w:tcW w:w="411" w:type="pct"/>
            <w:gridSpan w:val="2"/>
            <w:shd w:val="clear" w:color="auto" w:fill="auto"/>
            <w:tcMar>
              <w:top w:w="15" w:type="dxa"/>
              <w:left w:w="15" w:type="dxa"/>
              <w:right w:w="15" w:type="dxa"/>
            </w:tcMar>
            <w:vAlign w:val="center"/>
          </w:tcPr>
          <w:p w14:paraId="2054784E">
            <w:pPr>
              <w:widowControl/>
              <w:shd w:val="clear"/>
              <w:jc w:val="center"/>
              <w:textAlignment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kern w:val="0"/>
                <w:szCs w:val="21"/>
                <w:highlight w:val="none"/>
              </w:rPr>
              <w:t>违法行为</w:t>
            </w:r>
          </w:p>
        </w:tc>
        <w:tc>
          <w:tcPr>
            <w:tcW w:w="1310" w:type="pct"/>
            <w:gridSpan w:val="2"/>
            <w:shd w:val="clear" w:color="auto" w:fill="auto"/>
            <w:tcMar>
              <w:top w:w="15" w:type="dxa"/>
              <w:left w:w="15" w:type="dxa"/>
              <w:right w:w="15" w:type="dxa"/>
            </w:tcMar>
            <w:vAlign w:val="center"/>
          </w:tcPr>
          <w:p w14:paraId="6454F0B8">
            <w:pPr>
              <w:widowControl/>
              <w:shd w:val="clear"/>
              <w:jc w:val="center"/>
              <w:textAlignment w:val="center"/>
              <w:rPr>
                <w:rFonts w:hint="default" w:ascii="Times New Roman" w:hAnsi="Times New Roman" w:cs="Times New Roman" w:eastAsiaTheme="minorEastAsia"/>
                <w:color w:val="auto"/>
                <w:szCs w:val="21"/>
                <w:highlight w:val="none"/>
                <w:lang w:eastAsia="zh-CN"/>
              </w:rPr>
            </w:pPr>
            <w:r>
              <w:rPr>
                <w:rFonts w:hint="default" w:ascii="Times New Roman" w:hAnsi="Times New Roman" w:cs="Times New Roman" w:eastAsiaTheme="minorEastAsia"/>
                <w:color w:val="auto"/>
                <w:kern w:val="0"/>
                <w:szCs w:val="21"/>
                <w:highlight w:val="none"/>
                <w:lang w:eastAsia="zh-CN"/>
              </w:rPr>
              <w:t>违反条款</w:t>
            </w:r>
          </w:p>
        </w:tc>
        <w:tc>
          <w:tcPr>
            <w:tcW w:w="1314" w:type="pct"/>
            <w:gridSpan w:val="2"/>
            <w:shd w:val="clear" w:color="auto" w:fill="auto"/>
            <w:tcMar>
              <w:top w:w="15" w:type="dxa"/>
              <w:left w:w="15" w:type="dxa"/>
              <w:right w:w="15" w:type="dxa"/>
            </w:tcMar>
            <w:vAlign w:val="center"/>
          </w:tcPr>
          <w:p w14:paraId="50AB5CBC">
            <w:pPr>
              <w:widowControl/>
              <w:shd w:val="clear"/>
              <w:jc w:val="center"/>
              <w:textAlignment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kern w:val="0"/>
                <w:szCs w:val="21"/>
                <w:highlight w:val="none"/>
              </w:rPr>
              <w:t>处罚依据</w:t>
            </w:r>
          </w:p>
        </w:tc>
        <w:tc>
          <w:tcPr>
            <w:tcW w:w="177" w:type="pct"/>
            <w:gridSpan w:val="2"/>
            <w:shd w:val="clear" w:color="auto" w:fill="auto"/>
            <w:tcMar>
              <w:top w:w="15" w:type="dxa"/>
              <w:left w:w="15" w:type="dxa"/>
              <w:right w:w="15" w:type="dxa"/>
            </w:tcMar>
            <w:vAlign w:val="center"/>
          </w:tcPr>
          <w:p w14:paraId="1FC8C3DD">
            <w:pPr>
              <w:widowControl/>
              <w:shd w:val="clear"/>
              <w:jc w:val="center"/>
              <w:textAlignment w:val="center"/>
              <w:rPr>
                <w:rFonts w:hint="default" w:ascii="Times New Roman" w:hAnsi="Times New Roman" w:cs="Times New Roman" w:eastAsiaTheme="minorEastAsia"/>
                <w:color w:val="auto"/>
                <w:szCs w:val="21"/>
                <w:highlight w:val="none"/>
                <w:lang w:eastAsia="zh-CN"/>
              </w:rPr>
            </w:pPr>
            <w:r>
              <w:rPr>
                <w:rFonts w:hint="default" w:ascii="Times New Roman" w:hAnsi="Times New Roman" w:cs="Times New Roman" w:eastAsiaTheme="minorEastAsia"/>
                <w:color w:val="auto"/>
                <w:kern w:val="0"/>
                <w:szCs w:val="21"/>
                <w:highlight w:val="none"/>
                <w:lang w:eastAsia="zh-CN"/>
              </w:rPr>
              <w:t>裁量档次</w:t>
            </w:r>
          </w:p>
        </w:tc>
        <w:tc>
          <w:tcPr>
            <w:tcW w:w="533" w:type="pct"/>
            <w:gridSpan w:val="3"/>
            <w:shd w:val="clear" w:color="auto" w:fill="auto"/>
            <w:tcMar>
              <w:top w:w="15" w:type="dxa"/>
              <w:left w:w="15" w:type="dxa"/>
              <w:right w:w="15" w:type="dxa"/>
            </w:tcMar>
            <w:vAlign w:val="center"/>
          </w:tcPr>
          <w:p w14:paraId="0CF764C7">
            <w:pPr>
              <w:widowControl/>
              <w:shd w:val="clear"/>
              <w:jc w:val="center"/>
              <w:textAlignment w:val="center"/>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eastAsiaTheme="minorEastAsia"/>
                <w:color w:val="auto"/>
                <w:kern w:val="0"/>
                <w:szCs w:val="21"/>
                <w:highlight w:val="none"/>
              </w:rPr>
              <w:t>违法情节</w:t>
            </w:r>
            <w:r>
              <w:rPr>
                <w:rFonts w:hint="default" w:ascii="Times New Roman" w:hAnsi="Times New Roman" w:cs="Times New Roman" w:eastAsiaTheme="minorEastAsia"/>
                <w:color w:val="auto"/>
                <w:kern w:val="0"/>
                <w:szCs w:val="21"/>
                <w:highlight w:val="none"/>
                <w:lang w:eastAsia="zh-CN"/>
              </w:rPr>
              <w:t>和后果</w:t>
            </w:r>
          </w:p>
          <w:p w14:paraId="667375E4">
            <w:pPr>
              <w:widowControl/>
              <w:shd w:val="clear"/>
              <w:jc w:val="center"/>
              <w:textAlignment w:val="center"/>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eastAsiaTheme="minorEastAsia"/>
                <w:color w:val="auto"/>
                <w:kern w:val="0"/>
                <w:szCs w:val="21"/>
                <w:highlight w:val="none"/>
                <w:lang w:eastAsia="zh-CN"/>
              </w:rPr>
              <w:t>（“以上”包括本数，“以下”不包括本数。）</w:t>
            </w:r>
          </w:p>
        </w:tc>
        <w:tc>
          <w:tcPr>
            <w:tcW w:w="545" w:type="pct"/>
            <w:gridSpan w:val="2"/>
            <w:shd w:val="clear" w:color="auto" w:fill="auto"/>
            <w:tcMar>
              <w:top w:w="15" w:type="dxa"/>
              <w:left w:w="15" w:type="dxa"/>
              <w:right w:w="15" w:type="dxa"/>
            </w:tcMar>
            <w:vAlign w:val="center"/>
          </w:tcPr>
          <w:p w14:paraId="2E86676A">
            <w:pPr>
              <w:widowControl/>
              <w:shd w:val="clear"/>
              <w:jc w:val="center"/>
              <w:textAlignment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kern w:val="0"/>
                <w:szCs w:val="21"/>
                <w:highlight w:val="none"/>
              </w:rPr>
              <w:t>处罚</w:t>
            </w:r>
            <w:r>
              <w:rPr>
                <w:rFonts w:hint="default" w:ascii="Times New Roman" w:hAnsi="Times New Roman" w:cs="Times New Roman" w:eastAsiaTheme="minorEastAsia"/>
                <w:color w:val="auto"/>
                <w:kern w:val="0"/>
                <w:szCs w:val="21"/>
                <w:highlight w:val="none"/>
                <w:lang w:eastAsia="zh-CN"/>
              </w:rPr>
              <w:t>自由</w:t>
            </w:r>
            <w:r>
              <w:rPr>
                <w:rFonts w:hint="default" w:ascii="Times New Roman" w:hAnsi="Times New Roman" w:cs="Times New Roman" w:eastAsiaTheme="minorEastAsia"/>
                <w:color w:val="auto"/>
                <w:kern w:val="0"/>
                <w:szCs w:val="21"/>
                <w:highlight w:val="none"/>
              </w:rPr>
              <w:t>裁量标准　（“以上”包括本数；“以下”在适用法定最高罚款额度时包括本数，其它情形不包括本数。）</w:t>
            </w:r>
          </w:p>
        </w:tc>
        <w:tc>
          <w:tcPr>
            <w:tcW w:w="200" w:type="pct"/>
            <w:gridSpan w:val="2"/>
            <w:shd w:val="clear" w:color="auto" w:fill="auto"/>
            <w:tcMar>
              <w:top w:w="15" w:type="dxa"/>
              <w:left w:w="15" w:type="dxa"/>
              <w:right w:w="15" w:type="dxa"/>
            </w:tcMar>
            <w:vAlign w:val="center"/>
          </w:tcPr>
          <w:p w14:paraId="09147C15">
            <w:pPr>
              <w:widowControl/>
              <w:shd w:val="clear"/>
              <w:jc w:val="center"/>
              <w:textAlignment w:val="center"/>
              <w:rPr>
                <w:rFonts w:hint="default" w:ascii="Times New Roman" w:hAnsi="Times New Roman" w:cs="Times New Roman" w:eastAsiaTheme="minorEastAsia"/>
                <w:color w:val="auto"/>
                <w:szCs w:val="21"/>
                <w:highlight w:val="none"/>
                <w:lang w:eastAsia="zh-CN"/>
              </w:rPr>
            </w:pPr>
            <w:r>
              <w:rPr>
                <w:rFonts w:hint="default" w:ascii="Times New Roman" w:hAnsi="Times New Roman" w:cs="Times New Roman" w:eastAsiaTheme="minorEastAsia"/>
                <w:color w:val="auto"/>
                <w:kern w:val="0"/>
                <w:szCs w:val="21"/>
                <w:highlight w:val="none"/>
              </w:rPr>
              <w:t>其他</w:t>
            </w:r>
            <w:r>
              <w:rPr>
                <w:rFonts w:hint="default" w:ascii="Times New Roman" w:hAnsi="Times New Roman" w:cs="Times New Roman" w:eastAsiaTheme="minorEastAsia"/>
                <w:color w:val="auto"/>
                <w:kern w:val="0"/>
                <w:szCs w:val="21"/>
                <w:highlight w:val="none"/>
                <w:lang w:eastAsia="zh-CN"/>
              </w:rPr>
              <w:t>措施</w:t>
            </w:r>
          </w:p>
        </w:tc>
        <w:tc>
          <w:tcPr>
            <w:tcW w:w="390" w:type="pct"/>
            <w:gridSpan w:val="3"/>
            <w:shd w:val="clear" w:color="auto" w:fill="auto"/>
            <w:tcMar>
              <w:top w:w="15" w:type="dxa"/>
              <w:left w:w="15" w:type="dxa"/>
              <w:right w:w="15" w:type="dxa"/>
            </w:tcMar>
            <w:vAlign w:val="center"/>
          </w:tcPr>
          <w:p w14:paraId="12E4BA33">
            <w:pPr>
              <w:widowControl/>
              <w:shd w:val="clear"/>
              <w:jc w:val="center"/>
              <w:textAlignment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kern w:val="0"/>
                <w:szCs w:val="21"/>
                <w:highlight w:val="none"/>
              </w:rPr>
              <w:t>备注</w:t>
            </w:r>
          </w:p>
        </w:tc>
      </w:tr>
      <w:tr w14:paraId="5906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5000" w:type="pct"/>
            <w:gridSpan w:val="20"/>
            <w:shd w:val="clear" w:color="auto" w:fill="auto"/>
            <w:tcMar>
              <w:top w:w="15" w:type="dxa"/>
              <w:left w:w="15" w:type="dxa"/>
              <w:right w:w="15" w:type="dxa"/>
            </w:tcMar>
            <w:vAlign w:val="center"/>
          </w:tcPr>
          <w:p w14:paraId="562EA80D">
            <w:pPr>
              <w:shd w:val="clear"/>
              <w:jc w:val="center"/>
              <w:outlineLvl w:val="0"/>
              <w:rPr>
                <w:rFonts w:hint="default" w:ascii="Times New Roman" w:hAnsi="Times New Roman" w:cs="Times New Roman" w:eastAsiaTheme="minorEastAsia"/>
                <w:color w:val="auto"/>
                <w:szCs w:val="18"/>
                <w:highlight w:val="none"/>
              </w:rPr>
            </w:pPr>
            <w:bookmarkStart w:id="1" w:name="_Toc30223"/>
            <w:bookmarkStart w:id="2" w:name="_Toc521762208"/>
            <w:bookmarkStart w:id="3" w:name="_Toc16246"/>
            <w:bookmarkStart w:id="4" w:name="_Toc494145852"/>
            <w:bookmarkStart w:id="5" w:name="_Toc532571882"/>
            <w:bookmarkStart w:id="6" w:name="_Toc31283"/>
            <w:bookmarkStart w:id="7" w:name="_Toc11367"/>
            <w:bookmarkStart w:id="8" w:name="_Toc17801"/>
            <w:bookmarkStart w:id="9" w:name="_Toc1745846162"/>
            <w:bookmarkStart w:id="10" w:name="_Toc27307"/>
            <w:bookmarkStart w:id="11" w:name="_Toc7914"/>
            <w:bookmarkStart w:id="12" w:name="_Toc199977388"/>
            <w:bookmarkStart w:id="13" w:name="_Toc304327617"/>
            <w:bookmarkStart w:id="14" w:name="_Toc430250576"/>
            <w:bookmarkStart w:id="15" w:name="_Toc1920425778"/>
            <w:bookmarkStart w:id="16" w:name="_Toc31526"/>
            <w:bookmarkStart w:id="17" w:name="_Toc2403"/>
            <w:bookmarkStart w:id="18" w:name="_Toc2045762172"/>
            <w:bookmarkStart w:id="19" w:name="_Toc363895877"/>
            <w:bookmarkStart w:id="20" w:name="_Toc965642498"/>
            <w:bookmarkStart w:id="21" w:name="_Toc927884617"/>
            <w:bookmarkStart w:id="22" w:name="_Toc1967165268"/>
            <w:bookmarkStart w:id="23" w:name="_Toc1357886153"/>
            <w:bookmarkStart w:id="24" w:name="_Toc1155180315"/>
            <w:r>
              <w:rPr>
                <w:rFonts w:hint="default" w:ascii="Times New Roman" w:hAnsi="Times New Roman" w:eastAsiaTheme="minorEastAsia"/>
              </w:rPr>
              <w:t>一、市容环境卫生管理（第1项-第</w:t>
            </w:r>
            <w:r>
              <w:rPr>
                <w:rFonts w:hint="default" w:ascii="Times New Roman" w:hAnsi="Times New Roman" w:eastAsiaTheme="minorEastAsia"/>
                <w:lang w:val="en-US" w:eastAsia="zh-CN"/>
              </w:rPr>
              <w:t>75</w:t>
            </w:r>
            <w:r>
              <w:rPr>
                <w:rFonts w:hint="default" w:ascii="Times New Roman" w:hAnsi="Times New Roman" w:eastAsiaTheme="minorEastAsia"/>
              </w:rPr>
              <w:t>项，共</w:t>
            </w:r>
            <w:r>
              <w:rPr>
                <w:rFonts w:hint="default" w:ascii="Times New Roman" w:hAnsi="Times New Roman" w:eastAsiaTheme="minorEastAsia"/>
                <w:lang w:val="en-US" w:eastAsia="zh-CN"/>
              </w:rPr>
              <w:t>75</w:t>
            </w:r>
            <w:r>
              <w:rPr>
                <w:rFonts w:hint="default" w:ascii="Times New Roman" w:hAnsi="Times New Roman" w:eastAsiaTheme="minorEastAsia"/>
              </w:rPr>
              <w:t>项）</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tc>
      </w:tr>
      <w:tr w14:paraId="1433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trPr>
        <w:tc>
          <w:tcPr>
            <w:tcW w:w="117" w:type="pct"/>
            <w:gridSpan w:val="2"/>
            <w:vMerge w:val="restart"/>
            <w:shd w:val="clear" w:color="auto" w:fill="auto"/>
            <w:tcMar>
              <w:top w:w="15" w:type="dxa"/>
              <w:left w:w="15" w:type="dxa"/>
              <w:right w:w="15" w:type="dxa"/>
            </w:tcMar>
            <w:vAlign w:val="center"/>
          </w:tcPr>
          <w:p w14:paraId="08031125">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1</w:t>
            </w:r>
          </w:p>
        </w:tc>
        <w:tc>
          <w:tcPr>
            <w:tcW w:w="411" w:type="pct"/>
            <w:gridSpan w:val="2"/>
            <w:vMerge w:val="restart"/>
            <w:shd w:val="clear" w:color="auto" w:fill="auto"/>
            <w:tcMar>
              <w:top w:w="15" w:type="dxa"/>
              <w:left w:w="15" w:type="dxa"/>
              <w:right w:w="15" w:type="dxa"/>
            </w:tcMar>
            <w:vAlign w:val="center"/>
          </w:tcPr>
          <w:p w14:paraId="07B0D534">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在公共场所随地吐痰、便溺</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555E7BBE">
            <w:pPr>
              <w:widowControl/>
              <w:numPr>
                <w:ilvl w:val="255"/>
                <w:numId w:val="0"/>
              </w:numPr>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1.《城市市容和环境卫生管理条例》第三十二条:“公民应当爱护公共卫生环境，不随地吐痰、便溺，不乱扔果皮、纸屑和烟头等废弃物。”</w:t>
            </w:r>
          </w:p>
          <w:p w14:paraId="74273DF3">
            <w:pPr>
              <w:widowControl/>
              <w:numPr>
                <w:ilvl w:val="255"/>
                <w:numId w:val="0"/>
              </w:numPr>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2.《广东省爱国卫生工作条例》第二十二条：“禁止在公共场所随地吐痰、便溺，乱扔果皮、纸屑、烟蒂、口香糖、废电池以及各种食品包装物等废弃物；禁止乱倒垃圾、粪便和污水。”</w:t>
            </w:r>
          </w:p>
        </w:tc>
        <w:tc>
          <w:tcPr>
            <w:tcW w:w="1314" w:type="pct"/>
            <w:gridSpan w:val="2"/>
            <w:vMerge w:val="restart"/>
            <w:shd w:val="clear" w:color="auto" w:fill="auto"/>
            <w:tcMar>
              <w:top w:w="15" w:type="dxa"/>
              <w:left w:w="15" w:type="dxa"/>
              <w:right w:w="15" w:type="dxa"/>
            </w:tcMar>
            <w:vAlign w:val="center"/>
          </w:tcPr>
          <w:p w14:paraId="7DB36995">
            <w:pPr>
              <w:widowControl/>
              <w:numPr>
                <w:ilvl w:val="255"/>
                <w:numId w:val="0"/>
              </w:numPr>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1.《城市市容和环境卫生管理条例》第三十四条第一款：“有下列行为之一者，城市人民政府市容环境卫生行政主管部门或者其委托的单位除责令其纠正违法行为、采取补救措施外，可以并处警告、罚款：（一）随地吐痰、便溺，乱扔果皮、纸屑和烟头等废弃物的；”</w:t>
            </w:r>
          </w:p>
          <w:p w14:paraId="17A811E0">
            <w:pPr>
              <w:widowControl/>
              <w:numPr>
                <w:ilvl w:val="255"/>
                <w:numId w:val="0"/>
              </w:numPr>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2.《广东省爱国卫生工作条例》第六十六条：“个人违反本条例第二十二条规定的，由县级以上负责城市市容环境卫生工作的主管部门或者政府指定的主管部门责令改正，处一百元以上五百元以下罚款。”</w:t>
            </w:r>
          </w:p>
        </w:tc>
        <w:tc>
          <w:tcPr>
            <w:tcW w:w="177" w:type="pct"/>
            <w:gridSpan w:val="2"/>
            <w:shd w:val="clear" w:color="auto" w:fill="auto"/>
            <w:tcMar>
              <w:top w:w="15" w:type="dxa"/>
              <w:left w:w="15" w:type="dxa"/>
              <w:right w:w="15" w:type="dxa"/>
            </w:tcMar>
            <w:vAlign w:val="center"/>
          </w:tcPr>
          <w:p w14:paraId="332C22D2">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273C0AEF">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随地吐痰、便溺1处</w:t>
            </w:r>
          </w:p>
        </w:tc>
        <w:tc>
          <w:tcPr>
            <w:tcW w:w="545" w:type="pct"/>
            <w:gridSpan w:val="2"/>
            <w:shd w:val="clear" w:color="auto" w:fill="auto"/>
            <w:tcMar>
              <w:top w:w="15" w:type="dxa"/>
              <w:left w:w="15" w:type="dxa"/>
              <w:right w:w="15" w:type="dxa"/>
            </w:tcMar>
            <w:vAlign w:val="center"/>
          </w:tcPr>
          <w:p w14:paraId="16A2576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可以警告，</w:t>
            </w: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100元以上220</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restart"/>
            <w:shd w:val="clear" w:color="auto" w:fill="auto"/>
            <w:tcMar>
              <w:top w:w="15" w:type="dxa"/>
              <w:left w:w="15" w:type="dxa"/>
              <w:right w:w="15" w:type="dxa"/>
            </w:tcMar>
            <w:vAlign w:val="center"/>
          </w:tcPr>
          <w:p w14:paraId="3105C734">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责令纠正违法行为、采取补救措施</w:t>
            </w:r>
          </w:p>
          <w:p w14:paraId="37B100A2">
            <w:pPr>
              <w:widowControl/>
              <w:shd w:val="clear"/>
              <w:jc w:val="left"/>
              <w:textAlignment w:val="center"/>
              <w:rPr>
                <w:rFonts w:hint="default" w:ascii="Times New Roman" w:hAnsi="Times New Roman" w:cs="Times New Roman" w:eastAsiaTheme="minorEastAsia"/>
                <w:color w:val="auto"/>
                <w:sz w:val="18"/>
                <w:szCs w:val="18"/>
                <w:highlight w:val="none"/>
              </w:rPr>
            </w:pPr>
          </w:p>
          <w:p w14:paraId="1C88455F">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1FCD8067">
            <w:pPr>
              <w:shd w:val="clear"/>
              <w:jc w:val="left"/>
              <w:rPr>
                <w:rFonts w:hint="default" w:ascii="Times New Roman" w:hAnsi="Times New Roman" w:cs="Times New Roman" w:eastAsiaTheme="minorEastAsia"/>
                <w:color w:val="auto"/>
                <w:sz w:val="18"/>
                <w:szCs w:val="18"/>
                <w:highlight w:val="none"/>
                <w:lang w:val="en-US" w:eastAsia="zh-CN"/>
              </w:rPr>
            </w:pPr>
          </w:p>
        </w:tc>
      </w:tr>
      <w:tr w14:paraId="77F1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4" w:hRule="atLeast"/>
        </w:trPr>
        <w:tc>
          <w:tcPr>
            <w:tcW w:w="117" w:type="pct"/>
            <w:gridSpan w:val="2"/>
            <w:vMerge w:val="continue"/>
            <w:shd w:val="clear" w:color="auto" w:fill="auto"/>
            <w:tcMar>
              <w:top w:w="15" w:type="dxa"/>
              <w:left w:w="15" w:type="dxa"/>
              <w:right w:w="15" w:type="dxa"/>
            </w:tcMar>
            <w:vAlign w:val="center"/>
          </w:tcPr>
          <w:p w14:paraId="79623C8D">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06F80B8F">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08DC9091">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4A3E1ACD">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568A7439">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46A9F20D">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随地吐痰、便溺2处</w:t>
            </w:r>
          </w:p>
        </w:tc>
        <w:tc>
          <w:tcPr>
            <w:tcW w:w="545" w:type="pct"/>
            <w:gridSpan w:val="2"/>
            <w:shd w:val="clear" w:color="auto" w:fill="auto"/>
            <w:tcMar>
              <w:top w:w="15" w:type="dxa"/>
              <w:left w:w="15" w:type="dxa"/>
              <w:right w:w="15" w:type="dxa"/>
            </w:tcMar>
            <w:vAlign w:val="center"/>
          </w:tcPr>
          <w:p w14:paraId="685E49B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可以警告，</w:t>
            </w: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220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380</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467C0C50">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1FCCC468">
            <w:pPr>
              <w:shd w:val="clear"/>
              <w:jc w:val="center"/>
              <w:rPr>
                <w:rFonts w:hint="default" w:ascii="Times New Roman" w:hAnsi="Times New Roman" w:cs="Times New Roman" w:eastAsiaTheme="minorEastAsia"/>
                <w:color w:val="auto"/>
                <w:sz w:val="18"/>
                <w:szCs w:val="18"/>
                <w:highlight w:val="none"/>
              </w:rPr>
            </w:pPr>
          </w:p>
        </w:tc>
      </w:tr>
      <w:tr w14:paraId="3D2C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rPr>
        <w:tc>
          <w:tcPr>
            <w:tcW w:w="117" w:type="pct"/>
            <w:gridSpan w:val="2"/>
            <w:vMerge w:val="continue"/>
            <w:shd w:val="clear" w:color="auto" w:fill="auto"/>
            <w:tcMar>
              <w:top w:w="15" w:type="dxa"/>
              <w:left w:w="15" w:type="dxa"/>
              <w:right w:w="15" w:type="dxa"/>
            </w:tcMar>
            <w:vAlign w:val="center"/>
          </w:tcPr>
          <w:p w14:paraId="778CF9A8">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34C33D5D">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64497C85">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6B56BF02">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4E446034">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52AE8D49">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随地吐痰、便溺3处</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7D4F6E0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可以警告，</w:t>
            </w: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380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500</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2AF46402">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010B571C">
            <w:pPr>
              <w:shd w:val="clear"/>
              <w:jc w:val="center"/>
              <w:rPr>
                <w:rFonts w:hint="default" w:ascii="Times New Roman" w:hAnsi="Times New Roman" w:cs="Times New Roman" w:eastAsiaTheme="minorEastAsia"/>
                <w:color w:val="auto"/>
                <w:sz w:val="18"/>
                <w:szCs w:val="18"/>
                <w:highlight w:val="none"/>
              </w:rPr>
            </w:pPr>
          </w:p>
        </w:tc>
      </w:tr>
      <w:tr w14:paraId="0BEC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117" w:type="pct"/>
            <w:gridSpan w:val="2"/>
            <w:vMerge w:val="restart"/>
            <w:shd w:val="clear" w:color="auto" w:fill="auto"/>
            <w:tcMar>
              <w:top w:w="15" w:type="dxa"/>
              <w:left w:w="15" w:type="dxa"/>
              <w:right w:w="15" w:type="dxa"/>
            </w:tcMar>
            <w:vAlign w:val="center"/>
          </w:tcPr>
          <w:p w14:paraId="2085122B">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2</w:t>
            </w:r>
          </w:p>
        </w:tc>
        <w:tc>
          <w:tcPr>
            <w:tcW w:w="411" w:type="pct"/>
            <w:gridSpan w:val="2"/>
            <w:vMerge w:val="restart"/>
            <w:shd w:val="clear" w:color="auto" w:fill="auto"/>
            <w:tcMar>
              <w:top w:w="15" w:type="dxa"/>
              <w:left w:w="15" w:type="dxa"/>
              <w:right w:w="15" w:type="dxa"/>
            </w:tcMar>
            <w:vAlign w:val="center"/>
          </w:tcPr>
          <w:p w14:paraId="5CFC152A">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违法饲养家禽家畜影响市容和环境卫生</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55F09C9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 xml:space="preserve">《广东省爱国卫生工作条例》第二十三条第一款：“除因教学、科研以及其他特殊需要饲养的外，城市市区内禁止饲养鸡、鸭、鹅、兔、羊、猪等家畜家禽。”  </w:t>
            </w:r>
          </w:p>
        </w:tc>
        <w:tc>
          <w:tcPr>
            <w:tcW w:w="1314" w:type="pct"/>
            <w:gridSpan w:val="2"/>
            <w:vMerge w:val="restart"/>
            <w:shd w:val="clear" w:color="auto" w:fill="auto"/>
            <w:tcMar>
              <w:top w:w="15" w:type="dxa"/>
              <w:left w:w="15" w:type="dxa"/>
              <w:right w:w="15" w:type="dxa"/>
            </w:tcMar>
            <w:vAlign w:val="center"/>
          </w:tcPr>
          <w:p w14:paraId="6B028597">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广东省爱国卫生工作条例》第六十七条第一款：“违反本条例第二十三条第一款规定，饲养家禽家畜影响市容和环境卫生的，由县级以上负责城市市容环境卫生工作的主管部门或者其委托的单位，责令其限期处理或者予以没收，处五十元以上二百元以下罚款。”</w:t>
            </w:r>
          </w:p>
          <w:p w14:paraId="5CC94577">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177" w:type="pct"/>
            <w:gridSpan w:val="2"/>
            <w:shd w:val="clear" w:color="auto" w:fill="auto"/>
            <w:tcMar>
              <w:top w:w="15" w:type="dxa"/>
              <w:left w:w="15" w:type="dxa"/>
              <w:right w:w="15" w:type="dxa"/>
            </w:tcMar>
            <w:vAlign w:val="center"/>
          </w:tcPr>
          <w:p w14:paraId="77969667">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24EAB6A4">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违法饲养家禽家畜5只</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4A8AE06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责令其限期处理或者予以没收，</w:t>
            </w:r>
            <w:r>
              <w:rPr>
                <w:rFonts w:hint="default" w:ascii="Times New Roman" w:hAnsi="Times New Roman" w:cs="Times New Roman" w:eastAsiaTheme="minorEastAsia"/>
                <w:color w:val="auto"/>
                <w:kern w:val="0"/>
                <w:sz w:val="18"/>
                <w:szCs w:val="18"/>
                <w:highlight w:val="none"/>
              </w:rPr>
              <w:t>处50元以上</w:t>
            </w:r>
            <w:r>
              <w:rPr>
                <w:rFonts w:hint="default" w:ascii="Times New Roman" w:hAnsi="Times New Roman" w:cs="Times New Roman" w:eastAsiaTheme="minorEastAsia"/>
                <w:color w:val="auto"/>
                <w:kern w:val="0"/>
                <w:sz w:val="18"/>
                <w:szCs w:val="18"/>
                <w:highlight w:val="none"/>
                <w:lang w:val="en-US" w:eastAsia="zh-CN"/>
              </w:rPr>
              <w:t>95</w:t>
            </w:r>
            <w:r>
              <w:rPr>
                <w:rFonts w:hint="default" w:ascii="Times New Roman" w:hAnsi="Times New Roman" w:cs="Times New Roman" w:eastAsiaTheme="minorEastAsia"/>
                <w:color w:val="auto"/>
                <w:kern w:val="0"/>
                <w:sz w:val="18"/>
                <w:szCs w:val="18"/>
                <w:highlight w:val="none"/>
              </w:rPr>
              <w:t>元以下罚款</w:t>
            </w:r>
          </w:p>
        </w:tc>
        <w:tc>
          <w:tcPr>
            <w:tcW w:w="200" w:type="pct"/>
            <w:gridSpan w:val="2"/>
            <w:vMerge w:val="restart"/>
            <w:shd w:val="clear" w:color="auto" w:fill="auto"/>
            <w:tcMar>
              <w:top w:w="15" w:type="dxa"/>
              <w:left w:w="15" w:type="dxa"/>
              <w:right w:w="15" w:type="dxa"/>
            </w:tcMar>
            <w:vAlign w:val="center"/>
          </w:tcPr>
          <w:p w14:paraId="3BA5655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责令其限期处理</w:t>
            </w:r>
          </w:p>
          <w:p w14:paraId="24B177B5">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3BEBFBB9">
            <w:pPr>
              <w:shd w:val="clear"/>
              <w:rPr>
                <w:rFonts w:hint="default" w:ascii="Times New Roman" w:hAnsi="Times New Roman" w:cs="Times New Roman" w:eastAsiaTheme="minorEastAsia"/>
                <w:color w:val="auto"/>
                <w:sz w:val="18"/>
                <w:szCs w:val="18"/>
                <w:highlight w:val="none"/>
                <w:lang w:val="en-US" w:eastAsia="zh-CN"/>
              </w:rPr>
            </w:pPr>
          </w:p>
        </w:tc>
      </w:tr>
      <w:tr w14:paraId="47EF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117" w:type="pct"/>
            <w:gridSpan w:val="2"/>
            <w:vMerge w:val="continue"/>
            <w:shd w:val="clear" w:color="auto" w:fill="auto"/>
            <w:tcMar>
              <w:top w:w="15" w:type="dxa"/>
              <w:left w:w="15" w:type="dxa"/>
              <w:right w:w="15" w:type="dxa"/>
            </w:tcMar>
            <w:vAlign w:val="center"/>
          </w:tcPr>
          <w:p w14:paraId="08ABBCB3">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70CDDDB3">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0FD28541">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555E4122">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2EE94CE6">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398EF40E">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违法饲养家禽家畜5只</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10只</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4717729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责令其限期处理或者予以没收，</w:t>
            </w: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95</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155</w:t>
            </w:r>
            <w:r>
              <w:rPr>
                <w:rFonts w:hint="default" w:ascii="Times New Roman" w:hAnsi="Times New Roman" w:cs="Times New Roman" w:eastAsiaTheme="minorEastAsia"/>
                <w:color w:val="auto"/>
                <w:kern w:val="0"/>
                <w:sz w:val="18"/>
                <w:szCs w:val="18"/>
                <w:highlight w:val="none"/>
              </w:rPr>
              <w:t>元以下罚款</w:t>
            </w:r>
          </w:p>
        </w:tc>
        <w:tc>
          <w:tcPr>
            <w:tcW w:w="200" w:type="pct"/>
            <w:gridSpan w:val="2"/>
            <w:vMerge w:val="continue"/>
            <w:shd w:val="clear" w:color="auto" w:fill="auto"/>
            <w:tcMar>
              <w:top w:w="15" w:type="dxa"/>
              <w:left w:w="15" w:type="dxa"/>
              <w:right w:w="15" w:type="dxa"/>
            </w:tcMar>
            <w:vAlign w:val="center"/>
          </w:tcPr>
          <w:p w14:paraId="6D3B34F9">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2FCF4CA2">
            <w:pPr>
              <w:shd w:val="clear"/>
              <w:rPr>
                <w:rFonts w:hint="default" w:ascii="Times New Roman" w:hAnsi="Times New Roman" w:cs="Times New Roman" w:eastAsiaTheme="minorEastAsia"/>
                <w:color w:val="auto"/>
                <w:sz w:val="18"/>
                <w:szCs w:val="18"/>
                <w:highlight w:val="none"/>
              </w:rPr>
            </w:pPr>
          </w:p>
        </w:tc>
      </w:tr>
      <w:tr w14:paraId="3375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117" w:type="pct"/>
            <w:gridSpan w:val="2"/>
            <w:vMerge w:val="continue"/>
            <w:shd w:val="clear" w:color="auto" w:fill="auto"/>
            <w:tcMar>
              <w:top w:w="15" w:type="dxa"/>
              <w:left w:w="15" w:type="dxa"/>
              <w:right w:w="15" w:type="dxa"/>
            </w:tcMar>
            <w:vAlign w:val="center"/>
          </w:tcPr>
          <w:p w14:paraId="7F53FEB1">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0EBD63AB">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7B41515B">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23B414D6">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0373F6ED">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4B74B5D4">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违法饲养家禽家畜10只</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30E6331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责令其限期处理或者予以没收，</w:t>
            </w: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155</w:t>
            </w:r>
            <w:r>
              <w:rPr>
                <w:rFonts w:hint="default" w:ascii="Times New Roman" w:hAnsi="Times New Roman" w:cs="Times New Roman" w:eastAsiaTheme="minorEastAsia"/>
                <w:color w:val="auto"/>
                <w:kern w:val="0"/>
                <w:sz w:val="18"/>
                <w:szCs w:val="18"/>
                <w:highlight w:val="none"/>
              </w:rPr>
              <w:t>元以上200元以下罚款</w:t>
            </w:r>
          </w:p>
        </w:tc>
        <w:tc>
          <w:tcPr>
            <w:tcW w:w="200" w:type="pct"/>
            <w:gridSpan w:val="2"/>
            <w:vMerge w:val="continue"/>
            <w:shd w:val="clear" w:color="auto" w:fill="auto"/>
            <w:tcMar>
              <w:top w:w="15" w:type="dxa"/>
              <w:left w:w="15" w:type="dxa"/>
              <w:right w:w="15" w:type="dxa"/>
            </w:tcMar>
            <w:vAlign w:val="center"/>
          </w:tcPr>
          <w:p w14:paraId="316C62D7">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32234C92">
            <w:pPr>
              <w:shd w:val="clear"/>
              <w:rPr>
                <w:rFonts w:hint="default" w:ascii="Times New Roman" w:hAnsi="Times New Roman" w:cs="Times New Roman" w:eastAsiaTheme="minorEastAsia"/>
                <w:color w:val="auto"/>
                <w:sz w:val="18"/>
                <w:szCs w:val="18"/>
                <w:highlight w:val="none"/>
              </w:rPr>
            </w:pPr>
          </w:p>
        </w:tc>
      </w:tr>
      <w:tr w14:paraId="7966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5" w:hRule="atLeast"/>
        </w:trPr>
        <w:tc>
          <w:tcPr>
            <w:tcW w:w="117" w:type="pct"/>
            <w:gridSpan w:val="2"/>
            <w:vMerge w:val="restart"/>
            <w:shd w:val="clear" w:color="auto" w:fill="auto"/>
            <w:tcMar>
              <w:top w:w="15" w:type="dxa"/>
              <w:left w:w="15" w:type="dxa"/>
              <w:right w:w="15" w:type="dxa"/>
            </w:tcMar>
            <w:vAlign w:val="center"/>
          </w:tcPr>
          <w:p w14:paraId="2BFBDF06">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3</w:t>
            </w:r>
          </w:p>
        </w:tc>
        <w:tc>
          <w:tcPr>
            <w:tcW w:w="411" w:type="pct"/>
            <w:gridSpan w:val="2"/>
            <w:vMerge w:val="restart"/>
            <w:shd w:val="clear" w:color="auto" w:fill="auto"/>
            <w:tcMar>
              <w:top w:w="15" w:type="dxa"/>
              <w:left w:w="15" w:type="dxa"/>
              <w:right w:w="15" w:type="dxa"/>
            </w:tcMar>
            <w:vAlign w:val="center"/>
          </w:tcPr>
          <w:p w14:paraId="6D01FAB5">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未即时清理动物粪便等排泄物，污染市容环境卫生</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689C3D8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 xml:space="preserve"> 《广东省爱国卫生工作条例》第二十四条第二款：“在城市市区范围内携带犬、猫等动物外出的，应当由成年人用牵引带牵领或者装入笼内，主动避让行人，即时清理动物粪便等排泄物，携带依法需要进行疫病强制免疫的动物外出的，应当携带已免疫证明或者为动物佩戴相应标牌。犬只应当佩戴口嚼或者嘴套，并禁止进入人口密集区域。”</w:t>
            </w:r>
          </w:p>
        </w:tc>
        <w:tc>
          <w:tcPr>
            <w:tcW w:w="1314" w:type="pct"/>
            <w:gridSpan w:val="2"/>
            <w:vMerge w:val="restart"/>
            <w:shd w:val="clear" w:color="auto" w:fill="auto"/>
            <w:tcMar>
              <w:top w:w="15" w:type="dxa"/>
              <w:left w:w="15" w:type="dxa"/>
              <w:right w:w="15" w:type="dxa"/>
            </w:tcMar>
            <w:vAlign w:val="center"/>
          </w:tcPr>
          <w:p w14:paraId="02E91BF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广东省爱国卫生工作条例》第六十八条第二款：“违反本条例第二十四条第二款规定，未即时清理动物的粪便等排泄物，污染市容环境卫生的，由县级以上负责城市市容环境卫生工作的主管部门或者政府指定的主管部门责令改正，清除污物，处五十元以上二百元以下罚款。......”</w:t>
            </w:r>
          </w:p>
        </w:tc>
        <w:tc>
          <w:tcPr>
            <w:tcW w:w="177" w:type="pct"/>
            <w:gridSpan w:val="2"/>
            <w:shd w:val="clear" w:color="auto" w:fill="auto"/>
            <w:tcMar>
              <w:top w:w="15" w:type="dxa"/>
              <w:left w:w="15" w:type="dxa"/>
              <w:right w:w="15" w:type="dxa"/>
            </w:tcMar>
            <w:vAlign w:val="center"/>
          </w:tcPr>
          <w:p w14:paraId="375DE586">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1C01BFFF">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未即时清理动物的粪便等排泄物3处</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rPr>
              <w:t>，污染市容环境卫生</w:t>
            </w:r>
          </w:p>
        </w:tc>
        <w:tc>
          <w:tcPr>
            <w:tcW w:w="545" w:type="pct"/>
            <w:gridSpan w:val="2"/>
            <w:shd w:val="clear" w:color="auto" w:fill="auto"/>
            <w:tcMar>
              <w:top w:w="15" w:type="dxa"/>
              <w:left w:w="15" w:type="dxa"/>
              <w:right w:w="15" w:type="dxa"/>
            </w:tcMar>
            <w:vAlign w:val="center"/>
          </w:tcPr>
          <w:p w14:paraId="2002B0D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处50元以上</w:t>
            </w:r>
            <w:r>
              <w:rPr>
                <w:rFonts w:hint="default" w:ascii="Times New Roman" w:hAnsi="Times New Roman" w:cs="Times New Roman" w:eastAsiaTheme="minorEastAsia"/>
                <w:color w:val="auto"/>
                <w:kern w:val="0"/>
                <w:sz w:val="18"/>
                <w:szCs w:val="18"/>
                <w:highlight w:val="none"/>
                <w:lang w:val="en-US" w:eastAsia="zh-CN"/>
              </w:rPr>
              <w:t>95</w:t>
            </w:r>
            <w:r>
              <w:rPr>
                <w:rFonts w:hint="default" w:ascii="Times New Roman" w:hAnsi="Times New Roman" w:cs="Times New Roman" w:eastAsiaTheme="minorEastAsia"/>
                <w:color w:val="auto"/>
                <w:kern w:val="0"/>
                <w:sz w:val="18"/>
                <w:szCs w:val="18"/>
                <w:highlight w:val="none"/>
              </w:rPr>
              <w:t>元以下罚款</w:t>
            </w:r>
          </w:p>
        </w:tc>
        <w:tc>
          <w:tcPr>
            <w:tcW w:w="200" w:type="pct"/>
            <w:gridSpan w:val="2"/>
            <w:vMerge w:val="restart"/>
            <w:shd w:val="clear" w:color="auto" w:fill="auto"/>
            <w:tcMar>
              <w:top w:w="15" w:type="dxa"/>
              <w:left w:w="15" w:type="dxa"/>
              <w:right w:w="15" w:type="dxa"/>
            </w:tcMar>
            <w:vAlign w:val="center"/>
          </w:tcPr>
          <w:p w14:paraId="677CD30C">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责令改正，清除污物</w:t>
            </w:r>
          </w:p>
          <w:p w14:paraId="0C611611">
            <w:pPr>
              <w:widowControl/>
              <w:shd w:val="clear"/>
              <w:jc w:val="left"/>
              <w:textAlignment w:val="center"/>
              <w:rPr>
                <w:rFonts w:hint="default" w:ascii="Times New Roman" w:hAnsi="Times New Roman" w:cs="Times New Roman" w:eastAsiaTheme="minorEastAsia"/>
                <w:color w:val="auto"/>
                <w:sz w:val="18"/>
                <w:szCs w:val="18"/>
                <w:highlight w:val="none"/>
              </w:rPr>
            </w:pPr>
          </w:p>
          <w:p w14:paraId="228CBF1B">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4B02B913">
            <w:pPr>
              <w:shd w:val="clear"/>
              <w:rPr>
                <w:rFonts w:hint="default" w:ascii="Times New Roman" w:hAnsi="Times New Roman" w:cs="Times New Roman" w:eastAsiaTheme="minorEastAsia"/>
                <w:color w:val="auto"/>
                <w:sz w:val="18"/>
                <w:szCs w:val="18"/>
                <w:highlight w:val="none"/>
                <w:lang w:val="en-US" w:eastAsia="zh-CN"/>
              </w:rPr>
            </w:pPr>
          </w:p>
        </w:tc>
      </w:tr>
      <w:tr w14:paraId="6040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3" w:hRule="atLeast"/>
        </w:trPr>
        <w:tc>
          <w:tcPr>
            <w:tcW w:w="117" w:type="pct"/>
            <w:gridSpan w:val="2"/>
            <w:vMerge w:val="continue"/>
            <w:shd w:val="clear" w:color="auto" w:fill="auto"/>
            <w:tcMar>
              <w:top w:w="15" w:type="dxa"/>
              <w:left w:w="15" w:type="dxa"/>
              <w:right w:w="15" w:type="dxa"/>
            </w:tcMar>
            <w:vAlign w:val="center"/>
          </w:tcPr>
          <w:p w14:paraId="41588372">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4F54A955">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5C6930F">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644EDAA0">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04EC67D8">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4BD84102">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未即时清理动物的粪便等排泄物3处</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5处</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rPr>
              <w:t>，污染市容环境卫生</w:t>
            </w:r>
          </w:p>
        </w:tc>
        <w:tc>
          <w:tcPr>
            <w:tcW w:w="545" w:type="pct"/>
            <w:gridSpan w:val="2"/>
            <w:shd w:val="clear" w:color="auto" w:fill="auto"/>
            <w:tcMar>
              <w:top w:w="15" w:type="dxa"/>
              <w:left w:w="15" w:type="dxa"/>
              <w:right w:w="15" w:type="dxa"/>
            </w:tcMar>
            <w:vAlign w:val="center"/>
          </w:tcPr>
          <w:p w14:paraId="50324EA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95</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155</w:t>
            </w:r>
            <w:r>
              <w:rPr>
                <w:rFonts w:hint="default" w:ascii="Times New Roman" w:hAnsi="Times New Roman" w:cs="Times New Roman" w:eastAsiaTheme="minorEastAsia"/>
                <w:color w:val="auto"/>
                <w:kern w:val="0"/>
                <w:sz w:val="18"/>
                <w:szCs w:val="18"/>
                <w:highlight w:val="none"/>
              </w:rPr>
              <w:t>元以下罚款</w:t>
            </w:r>
          </w:p>
        </w:tc>
        <w:tc>
          <w:tcPr>
            <w:tcW w:w="200" w:type="pct"/>
            <w:gridSpan w:val="2"/>
            <w:vMerge w:val="continue"/>
            <w:shd w:val="clear" w:color="auto" w:fill="auto"/>
            <w:tcMar>
              <w:top w:w="15" w:type="dxa"/>
              <w:left w:w="15" w:type="dxa"/>
              <w:right w:w="15" w:type="dxa"/>
            </w:tcMar>
            <w:vAlign w:val="center"/>
          </w:tcPr>
          <w:p w14:paraId="4CD3100A">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40679B63">
            <w:pPr>
              <w:shd w:val="clear"/>
              <w:rPr>
                <w:rFonts w:hint="default" w:ascii="Times New Roman" w:hAnsi="Times New Roman" w:cs="Times New Roman" w:eastAsiaTheme="minorEastAsia"/>
                <w:color w:val="auto"/>
                <w:sz w:val="18"/>
                <w:szCs w:val="18"/>
                <w:highlight w:val="none"/>
              </w:rPr>
            </w:pPr>
          </w:p>
        </w:tc>
      </w:tr>
      <w:tr w14:paraId="549B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trPr>
        <w:tc>
          <w:tcPr>
            <w:tcW w:w="117" w:type="pct"/>
            <w:gridSpan w:val="2"/>
            <w:vMerge w:val="continue"/>
            <w:shd w:val="clear" w:color="auto" w:fill="auto"/>
            <w:tcMar>
              <w:top w:w="15" w:type="dxa"/>
              <w:left w:w="15" w:type="dxa"/>
              <w:right w:w="15" w:type="dxa"/>
            </w:tcMar>
            <w:vAlign w:val="center"/>
          </w:tcPr>
          <w:p w14:paraId="2593CE83">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656469C3">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028362F3">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086176CD">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4C55C402">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1134FF96">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未即时清理动物的粪便等排泄物5处</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，污染市容环境卫生</w:t>
            </w:r>
          </w:p>
        </w:tc>
        <w:tc>
          <w:tcPr>
            <w:tcW w:w="545" w:type="pct"/>
            <w:gridSpan w:val="2"/>
            <w:shd w:val="clear" w:color="auto" w:fill="auto"/>
            <w:tcMar>
              <w:top w:w="15" w:type="dxa"/>
              <w:left w:w="15" w:type="dxa"/>
              <w:right w:w="15" w:type="dxa"/>
            </w:tcMar>
            <w:vAlign w:val="center"/>
          </w:tcPr>
          <w:p w14:paraId="1A18B51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155</w:t>
            </w:r>
            <w:r>
              <w:rPr>
                <w:rFonts w:hint="default" w:ascii="Times New Roman" w:hAnsi="Times New Roman" w:cs="Times New Roman" w:eastAsiaTheme="minorEastAsia"/>
                <w:color w:val="auto"/>
                <w:kern w:val="0"/>
                <w:sz w:val="18"/>
                <w:szCs w:val="18"/>
                <w:highlight w:val="none"/>
              </w:rPr>
              <w:t>元以上200元以下罚款</w:t>
            </w:r>
          </w:p>
        </w:tc>
        <w:tc>
          <w:tcPr>
            <w:tcW w:w="200" w:type="pct"/>
            <w:gridSpan w:val="2"/>
            <w:vMerge w:val="continue"/>
            <w:shd w:val="clear" w:color="auto" w:fill="auto"/>
            <w:tcMar>
              <w:top w:w="15" w:type="dxa"/>
              <w:left w:w="15" w:type="dxa"/>
              <w:right w:w="15" w:type="dxa"/>
            </w:tcMar>
            <w:vAlign w:val="center"/>
          </w:tcPr>
          <w:p w14:paraId="2340A852">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59829E8E">
            <w:pPr>
              <w:shd w:val="clear"/>
              <w:rPr>
                <w:rFonts w:hint="default" w:ascii="Times New Roman" w:hAnsi="Times New Roman" w:cs="Times New Roman" w:eastAsiaTheme="minorEastAsia"/>
                <w:color w:val="auto"/>
                <w:sz w:val="18"/>
                <w:szCs w:val="18"/>
                <w:highlight w:val="none"/>
              </w:rPr>
            </w:pPr>
          </w:p>
        </w:tc>
      </w:tr>
      <w:tr w14:paraId="78B7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117" w:type="pct"/>
            <w:gridSpan w:val="2"/>
            <w:vMerge w:val="restart"/>
            <w:shd w:val="clear" w:color="auto" w:fill="auto"/>
            <w:tcMar>
              <w:top w:w="15" w:type="dxa"/>
              <w:left w:w="15" w:type="dxa"/>
              <w:right w:w="15" w:type="dxa"/>
            </w:tcMar>
            <w:vAlign w:val="center"/>
          </w:tcPr>
          <w:p w14:paraId="6D4E16DE">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4</w:t>
            </w:r>
          </w:p>
        </w:tc>
        <w:tc>
          <w:tcPr>
            <w:tcW w:w="411" w:type="pct"/>
            <w:gridSpan w:val="2"/>
            <w:vMerge w:val="restart"/>
            <w:shd w:val="clear" w:color="auto" w:fill="auto"/>
            <w:tcMar>
              <w:top w:w="15" w:type="dxa"/>
              <w:left w:w="15" w:type="dxa"/>
              <w:right w:w="15" w:type="dxa"/>
            </w:tcMar>
            <w:vAlign w:val="center"/>
          </w:tcPr>
          <w:p w14:paraId="0D3868E2">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施工单位未妥善处理垃圾、粪便和污水；施工工地的宿舍、厨房、厕所不符合卫生要求</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lang w:val="en" w:eastAsia="zh-CN"/>
              </w:rPr>
              <w:t>逾期不改</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1EF8B5CD">
            <w:pPr>
              <w:widowControl/>
              <w:shd w:val="clear"/>
              <w:ind w:firstLine="0" w:firstLineChars="0"/>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《广东省爱国卫生工作条例》第十七条</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施工单位应当妥善处理垃圾、粪便和污水。施工工地的宿舍、厨房、厕所应当符合卫生要求。施工单位应当做好建筑垃圾和生活垃圾分类、收集和处理。</w:t>
            </w:r>
            <w:r>
              <w:rPr>
                <w:rFonts w:hint="default" w:ascii="Times New Roman" w:hAnsi="Times New Roman" w:cs="Times New Roman" w:eastAsiaTheme="minorEastAsia"/>
                <w:color w:val="auto"/>
                <w:kern w:val="0"/>
                <w:sz w:val="18"/>
                <w:szCs w:val="18"/>
                <w:highlight w:val="none"/>
                <w:lang w:eastAsia="zh-CN"/>
              </w:rPr>
              <w:t>”</w:t>
            </w:r>
          </w:p>
        </w:tc>
        <w:tc>
          <w:tcPr>
            <w:tcW w:w="1314" w:type="pct"/>
            <w:gridSpan w:val="2"/>
            <w:vMerge w:val="restart"/>
            <w:shd w:val="clear" w:color="auto" w:fill="auto"/>
            <w:tcMar>
              <w:top w:w="15" w:type="dxa"/>
              <w:left w:w="15" w:type="dxa"/>
              <w:right w:w="15" w:type="dxa"/>
            </w:tcMar>
            <w:vAlign w:val="center"/>
          </w:tcPr>
          <w:p w14:paraId="66FDAD6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广东省爱国卫生工作条例》第六十五条：“违反本条例第十七条规定的，由县级以上负责城市市容环境卫生工作的主管部门责令限期改正，逾期不改的，处一千元以上五千元以下罚款；情节严重的，由建设主管部门责令其停工整顿。”</w:t>
            </w:r>
          </w:p>
        </w:tc>
        <w:tc>
          <w:tcPr>
            <w:tcW w:w="177" w:type="pct"/>
            <w:gridSpan w:val="2"/>
            <w:shd w:val="clear" w:color="auto" w:fill="auto"/>
            <w:tcMar>
              <w:top w:w="15" w:type="dxa"/>
              <w:left w:w="15" w:type="dxa"/>
              <w:right w:w="15" w:type="dxa"/>
            </w:tcMar>
            <w:vAlign w:val="center"/>
          </w:tcPr>
          <w:p w14:paraId="4CBCF7EB">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3EE45D6D">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未妥善处理垃圾、粪便和污水3立方米</w:t>
            </w:r>
            <w:r>
              <w:rPr>
                <w:rFonts w:hint="default" w:ascii="Times New Roman" w:hAnsi="Times New Roman" w:cs="Times New Roman" w:eastAsiaTheme="minorEastAsia"/>
                <w:color w:val="auto"/>
                <w:kern w:val="0"/>
                <w:sz w:val="18"/>
                <w:szCs w:val="18"/>
                <w:highlight w:val="none"/>
                <w:lang w:eastAsia="zh-CN"/>
              </w:rPr>
              <w:t>以下；</w:t>
            </w:r>
          </w:p>
          <w:p w14:paraId="70D105FC">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宿舍、厨房、厕所其中</w:t>
            </w:r>
            <w:r>
              <w:rPr>
                <w:rFonts w:hint="default" w:ascii="Times New Roman" w:hAnsi="Times New Roman" w:cs="Times New Roman" w:eastAsiaTheme="minorEastAsia"/>
                <w:color w:val="auto"/>
                <w:kern w:val="0"/>
                <w:sz w:val="18"/>
                <w:szCs w:val="18"/>
                <w:highlight w:val="none"/>
                <w:lang w:val="en-US" w:eastAsia="zh-CN"/>
              </w:rPr>
              <w:t>1</w:t>
            </w:r>
            <w:r>
              <w:rPr>
                <w:rFonts w:hint="default" w:ascii="Times New Roman" w:hAnsi="Times New Roman" w:cs="Times New Roman" w:eastAsiaTheme="minorEastAsia"/>
                <w:color w:val="auto"/>
                <w:kern w:val="0"/>
                <w:sz w:val="18"/>
                <w:szCs w:val="18"/>
                <w:highlight w:val="none"/>
              </w:rPr>
              <w:t>项不符合卫生要求</w:t>
            </w:r>
          </w:p>
        </w:tc>
        <w:tc>
          <w:tcPr>
            <w:tcW w:w="545" w:type="pct"/>
            <w:gridSpan w:val="2"/>
            <w:shd w:val="clear" w:color="auto" w:fill="auto"/>
            <w:tcMar>
              <w:top w:w="15" w:type="dxa"/>
              <w:left w:w="15" w:type="dxa"/>
              <w:right w:w="15" w:type="dxa"/>
            </w:tcMar>
            <w:vAlign w:val="center"/>
          </w:tcPr>
          <w:p w14:paraId="150B4D7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处1000元以上</w:t>
            </w:r>
            <w:r>
              <w:rPr>
                <w:rFonts w:hint="default" w:ascii="Times New Roman" w:hAnsi="Times New Roman" w:cs="Times New Roman" w:eastAsiaTheme="minorEastAsia"/>
                <w:color w:val="auto"/>
                <w:kern w:val="0"/>
                <w:sz w:val="18"/>
                <w:szCs w:val="18"/>
                <w:highlight w:val="none"/>
                <w:lang w:val="en-US" w:eastAsia="zh-CN"/>
              </w:rPr>
              <w:t>2200</w:t>
            </w:r>
            <w:r>
              <w:rPr>
                <w:rFonts w:hint="default" w:ascii="Times New Roman" w:hAnsi="Times New Roman" w:cs="Times New Roman" w:eastAsiaTheme="minorEastAsia"/>
                <w:color w:val="auto"/>
                <w:kern w:val="0"/>
                <w:sz w:val="18"/>
                <w:szCs w:val="18"/>
                <w:highlight w:val="none"/>
              </w:rPr>
              <w:t>元以下罚款；情节严重的，由建设主管部门责令其停工整顿</w:t>
            </w:r>
          </w:p>
        </w:tc>
        <w:tc>
          <w:tcPr>
            <w:tcW w:w="200" w:type="pct"/>
            <w:gridSpan w:val="2"/>
            <w:vMerge w:val="restart"/>
            <w:shd w:val="clear" w:color="auto" w:fill="auto"/>
            <w:tcMar>
              <w:top w:w="15" w:type="dxa"/>
              <w:left w:w="15" w:type="dxa"/>
              <w:right w:w="15" w:type="dxa"/>
            </w:tcMar>
            <w:vAlign w:val="center"/>
          </w:tcPr>
          <w:p w14:paraId="356A3856">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w:t>
            </w:r>
          </w:p>
          <w:p w14:paraId="10F6AA32">
            <w:pPr>
              <w:widowControl/>
              <w:shd w:val="clear"/>
              <w:jc w:val="left"/>
              <w:textAlignment w:val="center"/>
              <w:rPr>
                <w:rFonts w:hint="default" w:ascii="Times New Roman" w:hAnsi="Times New Roman" w:cs="Times New Roman" w:eastAsiaTheme="minorEastAsia"/>
                <w:color w:val="auto"/>
                <w:sz w:val="18"/>
                <w:szCs w:val="18"/>
                <w:highlight w:val="none"/>
              </w:rPr>
            </w:pPr>
          </w:p>
          <w:p w14:paraId="6E622799">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3A372FBC">
            <w:pPr>
              <w:shd w:val="clear"/>
              <w:rPr>
                <w:rFonts w:hint="default" w:ascii="Times New Roman" w:hAnsi="Times New Roman" w:cs="Times New Roman" w:eastAsiaTheme="minorEastAsia"/>
                <w:color w:val="auto"/>
                <w:sz w:val="18"/>
                <w:szCs w:val="18"/>
                <w:highlight w:val="none"/>
                <w:lang w:val="en-US" w:eastAsia="zh-CN"/>
              </w:rPr>
            </w:pPr>
          </w:p>
        </w:tc>
      </w:tr>
      <w:tr w14:paraId="57E6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6" w:hRule="atLeast"/>
        </w:trPr>
        <w:tc>
          <w:tcPr>
            <w:tcW w:w="117" w:type="pct"/>
            <w:gridSpan w:val="2"/>
            <w:vMerge w:val="continue"/>
            <w:shd w:val="clear" w:color="auto" w:fill="auto"/>
            <w:tcMar>
              <w:top w:w="15" w:type="dxa"/>
              <w:left w:w="15" w:type="dxa"/>
              <w:right w:w="15" w:type="dxa"/>
            </w:tcMar>
            <w:vAlign w:val="center"/>
          </w:tcPr>
          <w:p w14:paraId="66FB1EFC">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164E060E">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3F8AC543">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58531EFF">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53929CEB">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419319F7">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未妥善处理垃圾、粪便和污水3立方米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10立方米</w:t>
            </w:r>
            <w:r>
              <w:rPr>
                <w:rFonts w:hint="default" w:ascii="Times New Roman" w:hAnsi="Times New Roman" w:cs="Times New Roman" w:eastAsiaTheme="minorEastAsia"/>
                <w:color w:val="auto"/>
                <w:kern w:val="0"/>
                <w:sz w:val="18"/>
                <w:szCs w:val="18"/>
                <w:highlight w:val="none"/>
                <w:lang w:eastAsia="zh-CN"/>
              </w:rPr>
              <w:t>以下；</w:t>
            </w:r>
          </w:p>
          <w:p w14:paraId="7E1BFF1B">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宿舍、厨房、厕所其中</w:t>
            </w:r>
            <w:r>
              <w:rPr>
                <w:rFonts w:hint="default" w:ascii="Times New Roman" w:hAnsi="Times New Roman" w:cs="Times New Roman" w:eastAsiaTheme="minorEastAsia"/>
                <w:color w:val="auto"/>
                <w:kern w:val="0"/>
                <w:sz w:val="18"/>
                <w:szCs w:val="18"/>
                <w:highlight w:val="none"/>
                <w:lang w:val="en-US" w:eastAsia="zh-CN"/>
              </w:rPr>
              <w:t>2</w:t>
            </w:r>
            <w:r>
              <w:rPr>
                <w:rFonts w:hint="default" w:ascii="Times New Roman" w:hAnsi="Times New Roman" w:cs="Times New Roman" w:eastAsiaTheme="minorEastAsia"/>
                <w:color w:val="auto"/>
                <w:kern w:val="0"/>
                <w:sz w:val="18"/>
                <w:szCs w:val="18"/>
                <w:highlight w:val="none"/>
              </w:rPr>
              <w:t>项不符合卫生要求</w:t>
            </w:r>
          </w:p>
        </w:tc>
        <w:tc>
          <w:tcPr>
            <w:tcW w:w="545" w:type="pct"/>
            <w:gridSpan w:val="2"/>
            <w:shd w:val="clear" w:color="auto" w:fill="auto"/>
            <w:tcMar>
              <w:top w:w="15" w:type="dxa"/>
              <w:left w:w="15" w:type="dxa"/>
              <w:right w:w="15" w:type="dxa"/>
            </w:tcMar>
            <w:vAlign w:val="center"/>
          </w:tcPr>
          <w:p w14:paraId="37814D8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2200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3800</w:t>
            </w:r>
            <w:r>
              <w:rPr>
                <w:rFonts w:hint="default" w:ascii="Times New Roman" w:hAnsi="Times New Roman" w:cs="Times New Roman" w:eastAsiaTheme="minorEastAsia"/>
                <w:color w:val="auto"/>
                <w:kern w:val="0"/>
                <w:sz w:val="18"/>
                <w:szCs w:val="18"/>
                <w:highlight w:val="none"/>
              </w:rPr>
              <w:t>元以下罚款；情节严重的，由建设主管部门责令其停工整顿</w:t>
            </w:r>
          </w:p>
        </w:tc>
        <w:tc>
          <w:tcPr>
            <w:tcW w:w="200" w:type="pct"/>
            <w:gridSpan w:val="2"/>
            <w:vMerge w:val="continue"/>
            <w:shd w:val="clear" w:color="auto" w:fill="auto"/>
            <w:tcMar>
              <w:top w:w="15" w:type="dxa"/>
              <w:left w:w="15" w:type="dxa"/>
              <w:right w:w="15" w:type="dxa"/>
            </w:tcMar>
            <w:vAlign w:val="center"/>
          </w:tcPr>
          <w:p w14:paraId="512A8CC7">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179017DC">
            <w:pPr>
              <w:shd w:val="clear"/>
              <w:rPr>
                <w:rFonts w:hint="default" w:ascii="Times New Roman" w:hAnsi="Times New Roman" w:cs="Times New Roman" w:eastAsiaTheme="minorEastAsia"/>
                <w:color w:val="auto"/>
                <w:sz w:val="18"/>
                <w:szCs w:val="18"/>
                <w:highlight w:val="none"/>
              </w:rPr>
            </w:pPr>
          </w:p>
        </w:tc>
      </w:tr>
      <w:tr w14:paraId="4909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8" w:hRule="atLeast"/>
        </w:trPr>
        <w:tc>
          <w:tcPr>
            <w:tcW w:w="117" w:type="pct"/>
            <w:gridSpan w:val="2"/>
            <w:vMerge w:val="continue"/>
            <w:shd w:val="clear" w:color="auto" w:fill="auto"/>
            <w:tcMar>
              <w:top w:w="15" w:type="dxa"/>
              <w:left w:w="15" w:type="dxa"/>
              <w:right w:w="15" w:type="dxa"/>
            </w:tcMar>
            <w:vAlign w:val="center"/>
          </w:tcPr>
          <w:p w14:paraId="5C2CEF7C">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16AD005D">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596E686B">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770E9B10">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2D58D85D">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70A8C5FC">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未妥善处理垃圾、粪便和污水10立方米</w:t>
            </w:r>
            <w:r>
              <w:rPr>
                <w:rFonts w:hint="default" w:ascii="Times New Roman" w:hAnsi="Times New Roman" w:cs="Times New Roman" w:eastAsiaTheme="minorEastAsia"/>
                <w:color w:val="auto"/>
                <w:kern w:val="0"/>
                <w:sz w:val="18"/>
                <w:szCs w:val="18"/>
                <w:highlight w:val="none"/>
                <w:lang w:eastAsia="zh-CN"/>
              </w:rPr>
              <w:t>以上；</w:t>
            </w:r>
          </w:p>
          <w:p w14:paraId="5ECC0963">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宿舍、厨房、厕所均不符合卫生要求</w:t>
            </w:r>
          </w:p>
        </w:tc>
        <w:tc>
          <w:tcPr>
            <w:tcW w:w="545" w:type="pct"/>
            <w:gridSpan w:val="2"/>
            <w:shd w:val="clear" w:color="auto" w:fill="auto"/>
            <w:tcMar>
              <w:top w:w="15" w:type="dxa"/>
              <w:left w:w="15" w:type="dxa"/>
              <w:right w:w="15" w:type="dxa"/>
            </w:tcMar>
            <w:vAlign w:val="center"/>
          </w:tcPr>
          <w:p w14:paraId="0FA9F54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3800</w:t>
            </w:r>
            <w:r>
              <w:rPr>
                <w:rFonts w:hint="default" w:ascii="Times New Roman" w:hAnsi="Times New Roman" w:cs="Times New Roman" w:eastAsiaTheme="minorEastAsia"/>
                <w:color w:val="auto"/>
                <w:kern w:val="0"/>
                <w:sz w:val="18"/>
                <w:szCs w:val="18"/>
                <w:highlight w:val="none"/>
              </w:rPr>
              <w:t>元以上5000元以下罚款；情节严重的，由建设主管部门责令其停工整顿</w:t>
            </w:r>
          </w:p>
        </w:tc>
        <w:tc>
          <w:tcPr>
            <w:tcW w:w="200" w:type="pct"/>
            <w:gridSpan w:val="2"/>
            <w:vMerge w:val="continue"/>
            <w:shd w:val="clear" w:color="auto" w:fill="auto"/>
            <w:tcMar>
              <w:top w:w="15" w:type="dxa"/>
              <w:left w:w="15" w:type="dxa"/>
              <w:right w:w="15" w:type="dxa"/>
            </w:tcMar>
            <w:vAlign w:val="center"/>
          </w:tcPr>
          <w:p w14:paraId="4DDA6DA4">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1130D1E3">
            <w:pPr>
              <w:shd w:val="clear"/>
              <w:rPr>
                <w:rFonts w:hint="default" w:ascii="Times New Roman" w:hAnsi="Times New Roman" w:cs="Times New Roman" w:eastAsiaTheme="minorEastAsia"/>
                <w:color w:val="auto"/>
                <w:sz w:val="18"/>
                <w:szCs w:val="18"/>
                <w:highlight w:val="none"/>
              </w:rPr>
            </w:pPr>
          </w:p>
        </w:tc>
      </w:tr>
      <w:tr w14:paraId="03A2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4" w:hRule="atLeast"/>
        </w:trPr>
        <w:tc>
          <w:tcPr>
            <w:tcW w:w="117" w:type="pct"/>
            <w:gridSpan w:val="2"/>
            <w:vMerge w:val="restart"/>
            <w:shd w:val="clear" w:color="auto" w:fill="auto"/>
            <w:tcMar>
              <w:top w:w="15" w:type="dxa"/>
              <w:left w:w="15" w:type="dxa"/>
              <w:right w:w="15" w:type="dxa"/>
            </w:tcMar>
            <w:vAlign w:val="center"/>
          </w:tcPr>
          <w:p w14:paraId="663C4E14">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5</w:t>
            </w:r>
          </w:p>
        </w:tc>
        <w:tc>
          <w:tcPr>
            <w:tcW w:w="411" w:type="pct"/>
            <w:gridSpan w:val="2"/>
            <w:vMerge w:val="restart"/>
            <w:shd w:val="clear" w:color="auto" w:fill="auto"/>
            <w:tcMar>
              <w:top w:w="15" w:type="dxa"/>
              <w:left w:w="15" w:type="dxa"/>
              <w:right w:w="15" w:type="dxa"/>
            </w:tcMar>
            <w:vAlign w:val="center"/>
          </w:tcPr>
          <w:p w14:paraId="6AC3A8E0">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机关、企业事业单位和社会团体未建立卫生管理制度、确定责任人或者配备卫生设施，室内外环境卫生未达到规定标准</w:t>
            </w:r>
            <w:r>
              <w:rPr>
                <w:rFonts w:hint="default" w:ascii="Times New Roman" w:hAnsi="Times New Roman" w:cs="Times New Roman" w:eastAsiaTheme="minorEastAsia"/>
                <w:color w:val="auto"/>
                <w:kern w:val="0"/>
                <w:sz w:val="18"/>
                <w:szCs w:val="18"/>
                <w:highlight w:val="none"/>
                <w:lang w:eastAsia="zh-CN"/>
              </w:rPr>
              <w:t>，逾期不改的</w:t>
            </w:r>
          </w:p>
        </w:tc>
        <w:tc>
          <w:tcPr>
            <w:tcW w:w="1310" w:type="pct"/>
            <w:gridSpan w:val="2"/>
            <w:vMerge w:val="restart"/>
            <w:shd w:val="clear" w:color="auto" w:fill="auto"/>
            <w:tcMar>
              <w:top w:w="15" w:type="dxa"/>
              <w:left w:w="15" w:type="dxa"/>
              <w:right w:w="15" w:type="dxa"/>
            </w:tcMar>
            <w:vAlign w:val="center"/>
          </w:tcPr>
          <w:p w14:paraId="47FEF505">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广东省爱国卫生工作条例》第十条第一款：“机关、企业事业单位和社会团体应当建立卫生管理制度，确定责任人，配备卫生设施，保证室内外环境卫生达到规定标准；组织本单位职工参加爱国卫生活动，保护和促进职工健康。”</w:t>
            </w:r>
          </w:p>
          <w:p w14:paraId="089F6EAE">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第十三条：“公共场所卫生应当符合下列要求：</w:t>
            </w:r>
          </w:p>
          <w:p w14:paraId="5210DD4B">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（一）室内外的空气、通风、采光、照明、噪音、水质、顾客用具和卫生设施符合国家规定的有关标准和要求；</w:t>
            </w:r>
          </w:p>
          <w:p w14:paraId="40CC862C">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（二）有完善的卫生管理制度、定期检查制度；</w:t>
            </w:r>
          </w:p>
          <w:p w14:paraId="6F9C3064">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（三）有专职或者兼职的卫生管理人员，健全的卫生责任制度。</w:t>
            </w:r>
          </w:p>
          <w:p w14:paraId="63BDDBC9">
            <w:pPr>
              <w:widowControl/>
              <w:shd w:val="clear"/>
              <w:ind w:firstLine="0" w:firstLineChars="0"/>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公共场所直接为顾客服务的人员，应当接受卫生知识培训，持有健康合格证明，保持个人卫生；患有传染性疾病及其他有碍公共卫生疾病的，治愈前不得从事直接为顾客服务的工作。”</w:t>
            </w:r>
          </w:p>
        </w:tc>
        <w:tc>
          <w:tcPr>
            <w:tcW w:w="1314" w:type="pct"/>
            <w:gridSpan w:val="2"/>
            <w:vMerge w:val="restart"/>
            <w:shd w:val="clear" w:color="auto" w:fill="auto"/>
            <w:tcMar>
              <w:top w:w="15" w:type="dxa"/>
              <w:left w:w="15" w:type="dxa"/>
              <w:right w:w="15" w:type="dxa"/>
            </w:tcMar>
            <w:vAlign w:val="center"/>
          </w:tcPr>
          <w:p w14:paraId="7CF9897C">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广东省爱国卫生工作条例》第六十四条：“单位违反本条例第十条规定，未建立卫生管理制度、确定责任人或者配备卫生设施，室内外环境卫生未达到规定标准的，由县级以上负责城市市容环境卫生工作的主管部门或者政府指定的主管部门责令限期改正；逾期不改的，处一千元以上五千元以下罚款。”</w:t>
            </w:r>
          </w:p>
        </w:tc>
        <w:tc>
          <w:tcPr>
            <w:tcW w:w="177" w:type="pct"/>
            <w:gridSpan w:val="2"/>
            <w:shd w:val="clear" w:color="auto" w:fill="auto"/>
            <w:tcMar>
              <w:top w:w="15" w:type="dxa"/>
              <w:left w:w="15" w:type="dxa"/>
              <w:right w:w="15" w:type="dxa"/>
            </w:tcMar>
            <w:vAlign w:val="center"/>
          </w:tcPr>
          <w:p w14:paraId="514629F1">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62726873">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有未建立卫生管理制度、未确定责任人、未配备卫生设施或者室内外环境卫生未达到规定标准中的1项</w:t>
            </w:r>
          </w:p>
        </w:tc>
        <w:tc>
          <w:tcPr>
            <w:tcW w:w="545" w:type="pct"/>
            <w:gridSpan w:val="2"/>
            <w:shd w:val="clear" w:color="auto" w:fill="auto"/>
            <w:tcMar>
              <w:top w:w="15" w:type="dxa"/>
              <w:left w:w="15" w:type="dxa"/>
              <w:right w:w="15" w:type="dxa"/>
            </w:tcMar>
            <w:vAlign w:val="center"/>
          </w:tcPr>
          <w:p w14:paraId="6110237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处1000元以上</w:t>
            </w:r>
            <w:r>
              <w:rPr>
                <w:rFonts w:hint="default" w:ascii="Times New Roman" w:hAnsi="Times New Roman" w:cs="Times New Roman" w:eastAsiaTheme="minorEastAsia"/>
                <w:color w:val="auto"/>
                <w:kern w:val="0"/>
                <w:sz w:val="18"/>
                <w:szCs w:val="18"/>
                <w:highlight w:val="none"/>
                <w:lang w:val="en-US" w:eastAsia="zh-CN"/>
              </w:rPr>
              <w:t>2200</w:t>
            </w:r>
            <w:r>
              <w:rPr>
                <w:rFonts w:hint="default" w:ascii="Times New Roman" w:hAnsi="Times New Roman" w:cs="Times New Roman" w:eastAsiaTheme="minorEastAsia"/>
                <w:color w:val="auto"/>
                <w:kern w:val="0"/>
                <w:sz w:val="18"/>
                <w:szCs w:val="18"/>
                <w:highlight w:val="none"/>
              </w:rPr>
              <w:t>元以下罚款</w:t>
            </w:r>
          </w:p>
        </w:tc>
        <w:tc>
          <w:tcPr>
            <w:tcW w:w="200" w:type="pct"/>
            <w:gridSpan w:val="2"/>
            <w:vMerge w:val="restart"/>
            <w:shd w:val="clear" w:color="auto" w:fill="auto"/>
            <w:tcMar>
              <w:top w:w="15" w:type="dxa"/>
              <w:left w:w="15" w:type="dxa"/>
              <w:right w:w="15" w:type="dxa"/>
            </w:tcMar>
            <w:vAlign w:val="center"/>
          </w:tcPr>
          <w:p w14:paraId="6D23E50B">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w:t>
            </w:r>
          </w:p>
          <w:p w14:paraId="60A3D750">
            <w:pPr>
              <w:widowControl/>
              <w:shd w:val="clear"/>
              <w:jc w:val="left"/>
              <w:textAlignment w:val="center"/>
              <w:rPr>
                <w:rFonts w:hint="default" w:ascii="Times New Roman" w:hAnsi="Times New Roman" w:cs="Times New Roman" w:eastAsiaTheme="minorEastAsia"/>
                <w:color w:val="auto"/>
                <w:sz w:val="18"/>
                <w:szCs w:val="18"/>
                <w:highlight w:val="none"/>
              </w:rPr>
            </w:pPr>
          </w:p>
          <w:p w14:paraId="053EA502">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6683C0DF">
            <w:pPr>
              <w:shd w:val="clear"/>
              <w:jc w:val="center"/>
              <w:rPr>
                <w:rFonts w:hint="default" w:ascii="Times New Roman" w:hAnsi="Times New Roman" w:cs="Times New Roman" w:eastAsiaTheme="minorEastAsia"/>
                <w:color w:val="auto"/>
                <w:sz w:val="18"/>
                <w:szCs w:val="18"/>
                <w:highlight w:val="none"/>
                <w:lang w:eastAsia="zh-CN"/>
              </w:rPr>
            </w:pPr>
          </w:p>
        </w:tc>
      </w:tr>
      <w:tr w14:paraId="22B7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1" w:hRule="atLeast"/>
        </w:trPr>
        <w:tc>
          <w:tcPr>
            <w:tcW w:w="117" w:type="pct"/>
            <w:gridSpan w:val="2"/>
            <w:vMerge w:val="continue"/>
            <w:shd w:val="clear" w:color="auto" w:fill="auto"/>
            <w:tcMar>
              <w:top w:w="15" w:type="dxa"/>
              <w:left w:w="15" w:type="dxa"/>
              <w:right w:w="15" w:type="dxa"/>
            </w:tcMar>
            <w:vAlign w:val="center"/>
          </w:tcPr>
          <w:p w14:paraId="5D9821DF">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704BCCEE">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3B2B9C73">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4AA5144F">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6A2DEC5D">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5B46691C">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有未建立卫生管理制度、未确定责任人、未配备卫生设施或者室内外环境卫生未达到规定标准中的2项</w:t>
            </w:r>
          </w:p>
        </w:tc>
        <w:tc>
          <w:tcPr>
            <w:tcW w:w="545" w:type="pct"/>
            <w:gridSpan w:val="2"/>
            <w:shd w:val="clear" w:color="auto" w:fill="auto"/>
            <w:tcMar>
              <w:top w:w="15" w:type="dxa"/>
              <w:left w:w="15" w:type="dxa"/>
              <w:right w:w="15" w:type="dxa"/>
            </w:tcMar>
            <w:vAlign w:val="center"/>
          </w:tcPr>
          <w:p w14:paraId="4584EFFF">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2200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3800</w:t>
            </w:r>
            <w:r>
              <w:rPr>
                <w:rFonts w:hint="default" w:ascii="Times New Roman" w:hAnsi="Times New Roman" w:cs="Times New Roman" w:eastAsiaTheme="minorEastAsia"/>
                <w:color w:val="auto"/>
                <w:kern w:val="0"/>
                <w:sz w:val="18"/>
                <w:szCs w:val="18"/>
                <w:highlight w:val="none"/>
              </w:rPr>
              <w:t>元以下罚款</w:t>
            </w:r>
          </w:p>
        </w:tc>
        <w:tc>
          <w:tcPr>
            <w:tcW w:w="200" w:type="pct"/>
            <w:gridSpan w:val="2"/>
            <w:vMerge w:val="continue"/>
            <w:shd w:val="clear" w:color="auto" w:fill="auto"/>
            <w:tcMar>
              <w:top w:w="15" w:type="dxa"/>
              <w:left w:w="15" w:type="dxa"/>
              <w:right w:w="15" w:type="dxa"/>
            </w:tcMar>
            <w:vAlign w:val="center"/>
          </w:tcPr>
          <w:p w14:paraId="1D2E6E0B">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709D7A4D">
            <w:pPr>
              <w:shd w:val="clear"/>
              <w:jc w:val="center"/>
              <w:rPr>
                <w:rFonts w:hint="default" w:ascii="Times New Roman" w:hAnsi="Times New Roman" w:cs="Times New Roman" w:eastAsiaTheme="minorEastAsia"/>
                <w:color w:val="auto"/>
                <w:sz w:val="18"/>
                <w:szCs w:val="18"/>
                <w:highlight w:val="none"/>
              </w:rPr>
            </w:pPr>
          </w:p>
        </w:tc>
      </w:tr>
      <w:tr w14:paraId="0AE4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trPr>
        <w:tc>
          <w:tcPr>
            <w:tcW w:w="117" w:type="pct"/>
            <w:gridSpan w:val="2"/>
            <w:vMerge w:val="continue"/>
            <w:shd w:val="clear" w:color="auto" w:fill="auto"/>
            <w:tcMar>
              <w:top w:w="15" w:type="dxa"/>
              <w:left w:w="15" w:type="dxa"/>
              <w:right w:w="15" w:type="dxa"/>
            </w:tcMar>
            <w:vAlign w:val="center"/>
          </w:tcPr>
          <w:p w14:paraId="4B3EAAE7">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0FA35993">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9D21EBB">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719261A5">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0AF77B5F">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354609F1">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有未建立卫生管理制度、未确定责任人、未配备卫生设施或者室内外环境卫生未达到规定标准中的3项</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31C0729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3800</w:t>
            </w:r>
            <w:r>
              <w:rPr>
                <w:rFonts w:hint="default" w:ascii="Times New Roman" w:hAnsi="Times New Roman" w:cs="Times New Roman" w:eastAsiaTheme="minorEastAsia"/>
                <w:color w:val="auto"/>
                <w:kern w:val="0"/>
                <w:sz w:val="18"/>
                <w:szCs w:val="18"/>
                <w:highlight w:val="none"/>
              </w:rPr>
              <w:t>元以上5000元以下罚款</w:t>
            </w:r>
          </w:p>
        </w:tc>
        <w:tc>
          <w:tcPr>
            <w:tcW w:w="200" w:type="pct"/>
            <w:gridSpan w:val="2"/>
            <w:vMerge w:val="continue"/>
            <w:shd w:val="clear" w:color="auto" w:fill="auto"/>
            <w:tcMar>
              <w:top w:w="15" w:type="dxa"/>
              <w:left w:w="15" w:type="dxa"/>
              <w:right w:w="15" w:type="dxa"/>
            </w:tcMar>
            <w:vAlign w:val="center"/>
          </w:tcPr>
          <w:p w14:paraId="639DB542">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0561DBF4">
            <w:pPr>
              <w:shd w:val="clear"/>
              <w:jc w:val="center"/>
              <w:rPr>
                <w:rFonts w:hint="default" w:ascii="Times New Roman" w:hAnsi="Times New Roman" w:cs="Times New Roman" w:eastAsiaTheme="minorEastAsia"/>
                <w:color w:val="auto"/>
                <w:sz w:val="18"/>
                <w:szCs w:val="18"/>
                <w:highlight w:val="none"/>
              </w:rPr>
            </w:pPr>
          </w:p>
        </w:tc>
      </w:tr>
      <w:tr w14:paraId="5061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17" w:type="pct"/>
            <w:gridSpan w:val="2"/>
            <w:vMerge w:val="restart"/>
            <w:shd w:val="clear" w:color="auto" w:fill="auto"/>
            <w:tcMar>
              <w:top w:w="15" w:type="dxa"/>
              <w:left w:w="15" w:type="dxa"/>
              <w:right w:w="15" w:type="dxa"/>
            </w:tcMar>
            <w:vAlign w:val="center"/>
          </w:tcPr>
          <w:p w14:paraId="2039153A">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6</w:t>
            </w:r>
          </w:p>
        </w:tc>
        <w:tc>
          <w:tcPr>
            <w:tcW w:w="411" w:type="pct"/>
            <w:gridSpan w:val="2"/>
            <w:vMerge w:val="restart"/>
            <w:shd w:val="clear" w:color="auto" w:fill="auto"/>
            <w:tcMar>
              <w:top w:w="15" w:type="dxa"/>
              <w:left w:w="15" w:type="dxa"/>
              <w:right w:w="15" w:type="dxa"/>
            </w:tcMar>
            <w:vAlign w:val="center"/>
          </w:tcPr>
          <w:p w14:paraId="4A016531">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环境卫生责任区的责任人</w:t>
            </w:r>
            <w:r>
              <w:rPr>
                <w:rFonts w:hint="default" w:ascii="Times New Roman" w:hAnsi="Times New Roman" w:cs="Times New Roman" w:eastAsiaTheme="minorEastAsia"/>
                <w:color w:val="auto"/>
                <w:kern w:val="0"/>
                <w:sz w:val="18"/>
                <w:szCs w:val="18"/>
                <w:highlight w:val="none"/>
                <w:lang w:eastAsia="zh-CN"/>
              </w:rPr>
              <w:t>不</w:t>
            </w:r>
            <w:r>
              <w:rPr>
                <w:rFonts w:hint="default" w:ascii="Times New Roman" w:hAnsi="Times New Roman" w:cs="Times New Roman" w:eastAsiaTheme="minorEastAsia"/>
                <w:color w:val="auto"/>
                <w:kern w:val="0"/>
                <w:sz w:val="18"/>
                <w:szCs w:val="18"/>
                <w:highlight w:val="none"/>
              </w:rPr>
              <w:t>履行责任区清扫保洁义务</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逾期不改正的</w:t>
            </w:r>
          </w:p>
        </w:tc>
        <w:tc>
          <w:tcPr>
            <w:tcW w:w="1310" w:type="pct"/>
            <w:gridSpan w:val="2"/>
            <w:vMerge w:val="restart"/>
            <w:shd w:val="clear" w:color="auto" w:fill="auto"/>
            <w:tcMar>
              <w:top w:w="15" w:type="dxa"/>
              <w:left w:w="15" w:type="dxa"/>
              <w:right w:w="15" w:type="dxa"/>
            </w:tcMar>
            <w:vAlign w:val="center"/>
          </w:tcPr>
          <w:p w14:paraId="7BEF8B26">
            <w:pPr>
              <w:widowControl/>
              <w:shd w:val="clea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《东莞市环境卫生管理规定》第二十条：“环境卫生责任区的责任人应当在责任区范围内履行下列责任：</w:t>
            </w:r>
          </w:p>
          <w:p w14:paraId="00FB96B7">
            <w:pPr>
              <w:widowControl/>
              <w:shd w:val="clea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一）保持环境卫生整洁，无暴露垃圾、粪便、污水，无污迹，无渣土，无蚊蝇孳生地；（二）保持水域卫生整洁，不得将废弃物排入水体，采取措施防止漂浮物流出责任区，及时清理水生植物；（三）按照规定设置环境卫生设施，并保持其整洁、完好；（四）配合环境卫生作业单位作业；（五）发现责任区内有影响环境卫生和损坏环境卫生设施行为的，应当予以制止，要求行为人自行清理、补救，并向属地园区、镇（街）环境卫生管理机构报告；（六）实行生活垃圾分类投放区域的责任人应当按照规定履行生活垃圾分类管理责任。</w:t>
            </w:r>
          </w:p>
          <w:p w14:paraId="63AF99FA">
            <w:pPr>
              <w:widowControl/>
              <w:shd w:val="clea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责任人可以自行履行责任区责任，也可以委托他人或者作业单位代为履行。”</w:t>
            </w:r>
          </w:p>
          <w:p w14:paraId="2897D992">
            <w:pPr>
              <w:widowControl/>
              <w:shd w:val="clea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第二十一条</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临街经营场所的责任人应当保持经营场所及其周围环境卫生整洁，不得向道路、公共场所排放污水、尘土或者废弃物。</w:t>
            </w:r>
          </w:p>
          <w:p w14:paraId="386DEBDE">
            <w:pPr>
              <w:widowControl/>
              <w:shd w:val="clea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废品收购或者废弃物接纳场所的责任人应当采取围挡、遮盖等措施防止废弃物向外散落。</w:t>
            </w:r>
          </w:p>
          <w:p w14:paraId="5F5D8EDF">
            <w:pPr>
              <w:widowControl/>
              <w:shd w:val="clear"/>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车辆清洗或者修理场所的责任人应当采取有效措施防止污水外流，保持经营场所周围环境整洁。</w:t>
            </w:r>
            <w:r>
              <w:rPr>
                <w:rFonts w:hint="default" w:ascii="Times New Roman" w:hAnsi="Times New Roman" w:cs="Times New Roman" w:eastAsiaTheme="minorEastAsia"/>
                <w:color w:val="auto"/>
                <w:kern w:val="0"/>
                <w:sz w:val="18"/>
                <w:szCs w:val="18"/>
                <w:highlight w:val="none"/>
                <w:lang w:eastAsia="zh-CN"/>
              </w:rPr>
              <w:t>”</w:t>
            </w:r>
          </w:p>
          <w:p w14:paraId="115B888F">
            <w:pPr>
              <w:widowControl/>
              <w:shd w:val="clear"/>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第二十二条：“农贸市场、集贸市场和其他商品交易市场的开办者应当按照以下规定履行责任区责任：（一）建立入场经营者环境卫生区域责任制度；（二）根据经营面积配备足量的专业保洁人员，并配备专职环境卫生监督员；（三）建立巡查管理制度，督促入场经营者做好各环境卫生责任区域内的卫生保洁工作，保持经营场所无暴露垃圾、积存污水、鼠蝇蚊蟑等病媒生物孳生地；（四）发现入场经营者有影响环境卫生行为的，应当及时制止和督促改正，并向属地园区、镇（街）环境卫生管理机构报告；（五）建立公示制度，在市场入口处等显著位置设公示栏，公布入场经营者环境卫生违法记录。”</w:t>
            </w:r>
          </w:p>
          <w:p w14:paraId="5C6019FD">
            <w:pPr>
              <w:widowControl/>
              <w:shd w:val="clear"/>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第二十三条：“建设工地责任人应当按照以下规定履行责任区责任：（一）施工区域应当设置硬质围挡，并保持其整洁、美观；（二）及时清除地面淤泥、沙石、粉尘和污染物，并对裸露的场地采取覆盖、固化或绿化等措施防止雨水冲刷造成污水流溢；（三）在施工区域内堆存建筑土方、工程渣土、建筑垃圾的，应当采取密闭遮盖等措施防止雨水冲刷造成污水流溢；（四）在施工区域内堆存流体、液体物料的，应当采取措施防止流溢；（五）在施工区域出口采取地面硬化措施，并设置车辆清洗设施对出场车辆车身、车轮进行冲洗和清理，防止出场车辆带泥污染道路；（六）停工场地应当及时整理并作必要的覆盖；（七）竣工后，应当及时清理和平整场地。”</w:t>
            </w:r>
          </w:p>
          <w:p w14:paraId="3F22A784">
            <w:pPr>
              <w:widowControl/>
              <w:shd w:val="clear"/>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第二十四条：“公共厕所责任人应当按照规范标准设置标志，按规定对外开放，并安排专人负责管理，保持厕所清洁、设施完好。</w:t>
            </w:r>
          </w:p>
          <w:p w14:paraId="3BB75D81">
            <w:pPr>
              <w:widowControl/>
              <w:shd w:val="clear"/>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鼓励机关、企事业单位附设的内部厕所在工作时间免费对外开放。”</w:t>
            </w:r>
          </w:p>
          <w:p w14:paraId="79AAE4FB">
            <w:pPr>
              <w:widowControl/>
              <w:shd w:val="clear"/>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第二十五条：“化粪池、储粪池的责任人应当遵守下列规定：（一）将粪便经消纳后分离出的污水进行无害化处理，达到排入城市下水道水质标准后排入污水处理系统；（二）定期清捞粪渣，并将粪渣转运至粪便处理设施；（三）按照有关技术规范定期维护、疏通、清掏粪池；（四）粪池堵塞、粪便外溢时，及时疏通、清除，无法自行疏通、清除的，应当报告属地园区、镇（街）环境卫生管理机构。</w:t>
            </w:r>
          </w:p>
          <w:p w14:paraId="2D3FF4B3">
            <w:pPr>
              <w:widowControl/>
              <w:shd w:val="clear"/>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园区、镇（街）环境卫生管理机构接到相关报告后应当先及时组织疏通、清除，再分清责任，由责任人承担疏通、清除费用。”</w:t>
            </w:r>
          </w:p>
        </w:tc>
        <w:tc>
          <w:tcPr>
            <w:tcW w:w="1314" w:type="pct"/>
            <w:gridSpan w:val="2"/>
            <w:vMerge w:val="restart"/>
            <w:shd w:val="clear" w:color="auto" w:fill="auto"/>
            <w:tcMar>
              <w:top w:w="15" w:type="dxa"/>
              <w:left w:w="15" w:type="dxa"/>
              <w:right w:w="15" w:type="dxa"/>
            </w:tcMar>
            <w:vAlign w:val="center"/>
          </w:tcPr>
          <w:p w14:paraId="1573C31B">
            <w:pPr>
              <w:widowControl/>
              <w:shd w:val="clea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东莞市环境卫生管理规定》第五十一条第一款：“违反第二十条、第二十一条、第二十二条、第二十三条、第二十四条、第二十五条规定，环境卫生责任人不履行责任区清扫保洁义务，由环境卫生主管部门根据《城市市容和环境卫生管理条例》第三十四条规定，责令限期改正；逾期不改正的，可以对单位处500元以上5000元以下的罚款，对个人处50元以上100元以下的罚款。”　</w:t>
            </w:r>
            <w:r>
              <w:rPr>
                <w:rFonts w:hint="default" w:ascii="Times New Roman" w:hAnsi="Times New Roman" w:cs="Times New Roman" w:eastAsiaTheme="minorEastAsia"/>
                <w:color w:val="auto"/>
                <w:kern w:val="0"/>
                <w:sz w:val="18"/>
                <w:szCs w:val="18"/>
                <w:highlight w:val="none"/>
                <w:lang w:val="en-US" w:eastAsia="zh-CN"/>
              </w:rPr>
              <w:t xml:space="preserve"> </w:t>
            </w:r>
          </w:p>
        </w:tc>
        <w:tc>
          <w:tcPr>
            <w:tcW w:w="177" w:type="pct"/>
            <w:gridSpan w:val="2"/>
            <w:shd w:val="clear" w:color="auto" w:fill="auto"/>
            <w:tcMar>
              <w:top w:w="15" w:type="dxa"/>
              <w:left w:w="15" w:type="dxa"/>
              <w:right w:w="15" w:type="dxa"/>
            </w:tcMar>
            <w:vAlign w:val="center"/>
          </w:tcPr>
          <w:p w14:paraId="771CE8D6">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30340171">
            <w:pPr>
              <w:widowControl/>
              <w:shd w:val="clear"/>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卫生责任区面积5平方米</w:t>
            </w:r>
            <w:r>
              <w:rPr>
                <w:rFonts w:hint="default" w:ascii="Times New Roman" w:hAnsi="Times New Roman" w:cs="Times New Roman" w:eastAsiaTheme="minorEastAsia"/>
                <w:color w:val="auto"/>
                <w:kern w:val="0"/>
                <w:sz w:val="18"/>
                <w:szCs w:val="18"/>
                <w:highlight w:val="none"/>
                <w:lang w:eastAsia="zh-CN"/>
              </w:rPr>
              <w:t>以下；</w:t>
            </w:r>
          </w:p>
          <w:p w14:paraId="28F3F226">
            <w:pPr>
              <w:widowControl/>
              <w:shd w:val="clear"/>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不按照要求履行责任3项以下</w:t>
            </w:r>
          </w:p>
        </w:tc>
        <w:tc>
          <w:tcPr>
            <w:tcW w:w="545" w:type="pct"/>
            <w:gridSpan w:val="2"/>
            <w:shd w:val="clear" w:color="auto" w:fill="auto"/>
            <w:tcMar>
              <w:top w:w="15" w:type="dxa"/>
              <w:left w:w="15" w:type="dxa"/>
              <w:right w:w="15" w:type="dxa"/>
            </w:tcMar>
            <w:vAlign w:val="center"/>
          </w:tcPr>
          <w:p w14:paraId="03FEDD47">
            <w:pPr>
              <w:widowControl/>
              <w:shd w:val="clea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可以对单位处500元以上</w:t>
            </w:r>
            <w:r>
              <w:rPr>
                <w:rFonts w:hint="default" w:ascii="Times New Roman" w:hAnsi="Times New Roman" w:cs="Times New Roman" w:eastAsiaTheme="minorEastAsia"/>
                <w:color w:val="auto"/>
                <w:kern w:val="0"/>
                <w:sz w:val="18"/>
                <w:szCs w:val="18"/>
                <w:highlight w:val="none"/>
                <w:lang w:val="en-US" w:eastAsia="zh-CN"/>
              </w:rPr>
              <w:t>1850</w:t>
            </w:r>
            <w:r>
              <w:rPr>
                <w:rFonts w:hint="default" w:ascii="Times New Roman" w:hAnsi="Times New Roman" w:cs="Times New Roman" w:eastAsiaTheme="minorEastAsia"/>
                <w:color w:val="auto"/>
                <w:kern w:val="0"/>
                <w:sz w:val="18"/>
                <w:szCs w:val="18"/>
                <w:highlight w:val="none"/>
              </w:rPr>
              <w:t>元以下罚款，对个人处50元以上</w:t>
            </w:r>
            <w:r>
              <w:rPr>
                <w:rFonts w:hint="default" w:ascii="Times New Roman" w:hAnsi="Times New Roman" w:cs="Times New Roman" w:eastAsiaTheme="minorEastAsia"/>
                <w:color w:val="auto"/>
                <w:kern w:val="0"/>
                <w:sz w:val="18"/>
                <w:szCs w:val="18"/>
                <w:highlight w:val="none"/>
                <w:lang w:val="en-US" w:eastAsia="zh-CN"/>
              </w:rPr>
              <w:t>65</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restart"/>
            <w:shd w:val="clear" w:color="auto" w:fill="auto"/>
            <w:tcMar>
              <w:top w:w="15" w:type="dxa"/>
              <w:left w:w="15" w:type="dxa"/>
              <w:right w:w="15" w:type="dxa"/>
            </w:tcMar>
            <w:vAlign w:val="center"/>
          </w:tcPr>
          <w:p w14:paraId="027B997C">
            <w:pPr>
              <w:widowControl/>
              <w:shd w:val="clea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w:t>
            </w:r>
          </w:p>
          <w:p w14:paraId="3960CFC3">
            <w:pPr>
              <w:widowControl/>
              <w:shd w:val="clear"/>
              <w:textAlignment w:val="center"/>
              <w:rPr>
                <w:rFonts w:hint="default" w:ascii="Times New Roman" w:hAnsi="Times New Roman" w:cs="Times New Roman" w:eastAsiaTheme="minorEastAsia"/>
                <w:color w:val="auto"/>
                <w:kern w:val="0"/>
                <w:sz w:val="18"/>
                <w:szCs w:val="18"/>
                <w:highlight w:val="none"/>
              </w:rPr>
            </w:pPr>
          </w:p>
          <w:p w14:paraId="278ADAFC">
            <w:pPr>
              <w:widowControl/>
              <w:shd w:val="clear"/>
              <w:textAlignment w:val="center"/>
              <w:rPr>
                <w:rFonts w:hint="default" w:ascii="Times New Roman" w:hAnsi="Times New Roman" w:cs="Times New Roman" w:eastAsiaTheme="minorEastAsia"/>
                <w:color w:val="auto"/>
                <w:kern w:val="0"/>
                <w:sz w:val="18"/>
                <w:szCs w:val="18"/>
                <w:highlight w:val="none"/>
              </w:rPr>
            </w:pPr>
          </w:p>
        </w:tc>
        <w:tc>
          <w:tcPr>
            <w:tcW w:w="390" w:type="pct"/>
            <w:gridSpan w:val="3"/>
            <w:vMerge w:val="restart"/>
            <w:shd w:val="clear" w:color="auto" w:fill="auto"/>
            <w:tcMar>
              <w:top w:w="15" w:type="dxa"/>
              <w:left w:w="15" w:type="dxa"/>
              <w:right w:w="15" w:type="dxa"/>
            </w:tcMar>
            <w:vAlign w:val="center"/>
          </w:tcPr>
          <w:p w14:paraId="78D84FF7">
            <w:pPr>
              <w:widowControl/>
              <w:shd w:val="clear"/>
              <w:textAlignment w:val="center"/>
              <w:rPr>
                <w:rFonts w:hint="default" w:ascii="Times New Roman" w:hAnsi="Times New Roman" w:cs="Times New Roman" w:eastAsiaTheme="minorEastAsia"/>
                <w:color w:val="auto"/>
                <w:sz w:val="18"/>
                <w:szCs w:val="18"/>
                <w:highlight w:val="none"/>
                <w:lang w:val="en-US" w:eastAsia="zh-CN"/>
              </w:rPr>
            </w:pPr>
          </w:p>
        </w:tc>
      </w:tr>
      <w:tr w14:paraId="2AFB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trPr>
        <w:tc>
          <w:tcPr>
            <w:tcW w:w="117" w:type="pct"/>
            <w:gridSpan w:val="2"/>
            <w:vMerge w:val="continue"/>
            <w:shd w:val="clear" w:color="auto" w:fill="auto"/>
            <w:tcMar>
              <w:top w:w="15" w:type="dxa"/>
              <w:left w:w="15" w:type="dxa"/>
              <w:right w:w="15" w:type="dxa"/>
            </w:tcMar>
            <w:vAlign w:val="center"/>
          </w:tcPr>
          <w:p w14:paraId="40BCE2EE">
            <w:pPr>
              <w:widowControl/>
              <w:shd w:val="clear"/>
              <w:jc w:val="center"/>
              <w:textAlignment w:val="center"/>
              <w:rPr>
                <w:rFonts w:hint="default" w:ascii="Times New Roman" w:hAnsi="Times New Roman" w:cs="Times New Roman" w:eastAsiaTheme="minorEastAsia"/>
                <w:color w:val="auto"/>
                <w:kern w:val="0"/>
                <w:sz w:val="18"/>
                <w:szCs w:val="18"/>
                <w:highlight w:val="none"/>
              </w:rPr>
            </w:pPr>
          </w:p>
        </w:tc>
        <w:tc>
          <w:tcPr>
            <w:tcW w:w="411" w:type="pct"/>
            <w:gridSpan w:val="2"/>
            <w:vMerge w:val="continue"/>
            <w:shd w:val="clear" w:color="auto" w:fill="auto"/>
            <w:tcMar>
              <w:top w:w="15" w:type="dxa"/>
              <w:left w:w="15" w:type="dxa"/>
              <w:right w:w="15" w:type="dxa"/>
            </w:tcMar>
            <w:vAlign w:val="center"/>
          </w:tcPr>
          <w:p w14:paraId="0D32298B">
            <w:pPr>
              <w:widowControl/>
              <w:shd w:val="clear"/>
              <w:jc w:val="center"/>
              <w:textAlignment w:val="center"/>
              <w:rPr>
                <w:rFonts w:hint="default" w:ascii="Times New Roman" w:hAnsi="Times New Roman" w:cs="Times New Roman" w:eastAsiaTheme="minorEastAsia"/>
                <w:color w:val="auto"/>
                <w:kern w:val="0"/>
                <w:sz w:val="18"/>
                <w:szCs w:val="18"/>
                <w:highlight w:val="none"/>
              </w:rPr>
            </w:pPr>
          </w:p>
        </w:tc>
        <w:tc>
          <w:tcPr>
            <w:tcW w:w="1310" w:type="pct"/>
            <w:gridSpan w:val="2"/>
            <w:vMerge w:val="continue"/>
            <w:shd w:val="clear" w:color="auto" w:fill="auto"/>
            <w:tcMar>
              <w:top w:w="15" w:type="dxa"/>
              <w:left w:w="15" w:type="dxa"/>
              <w:right w:w="15" w:type="dxa"/>
            </w:tcMar>
            <w:vAlign w:val="center"/>
          </w:tcPr>
          <w:p w14:paraId="2F3B4687">
            <w:pPr>
              <w:widowControl/>
              <w:shd w:val="clear"/>
              <w:textAlignment w:val="center"/>
              <w:rPr>
                <w:rFonts w:hint="default" w:ascii="Times New Roman" w:hAnsi="Times New Roman" w:cs="Times New Roman" w:eastAsiaTheme="minorEastAsia"/>
                <w:color w:val="auto"/>
                <w:kern w:val="0"/>
                <w:sz w:val="18"/>
                <w:szCs w:val="18"/>
                <w:highlight w:val="none"/>
              </w:rPr>
            </w:pPr>
          </w:p>
        </w:tc>
        <w:tc>
          <w:tcPr>
            <w:tcW w:w="1314" w:type="pct"/>
            <w:gridSpan w:val="2"/>
            <w:vMerge w:val="continue"/>
            <w:shd w:val="clear" w:color="auto" w:fill="auto"/>
            <w:tcMar>
              <w:top w:w="15" w:type="dxa"/>
              <w:left w:w="15" w:type="dxa"/>
              <w:right w:w="15" w:type="dxa"/>
            </w:tcMar>
            <w:vAlign w:val="center"/>
          </w:tcPr>
          <w:p w14:paraId="7996E5C2">
            <w:pPr>
              <w:widowControl/>
              <w:shd w:val="clear"/>
              <w:textAlignment w:val="center"/>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1CE2849E">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1D4D20F0">
            <w:pPr>
              <w:widowControl/>
              <w:shd w:val="clear"/>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卫生责任区面积5平方米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10平方米</w:t>
            </w:r>
            <w:r>
              <w:rPr>
                <w:rFonts w:hint="default" w:ascii="Times New Roman" w:hAnsi="Times New Roman" w:cs="Times New Roman" w:eastAsiaTheme="minorEastAsia"/>
                <w:color w:val="auto"/>
                <w:kern w:val="0"/>
                <w:sz w:val="18"/>
                <w:szCs w:val="18"/>
                <w:highlight w:val="none"/>
                <w:lang w:eastAsia="zh-CN"/>
              </w:rPr>
              <w:t>以下；</w:t>
            </w:r>
          </w:p>
          <w:p w14:paraId="4E351C75">
            <w:pPr>
              <w:widowControl/>
              <w:shd w:val="clear"/>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不按照要求履行责任3项以上5项以下</w:t>
            </w:r>
          </w:p>
        </w:tc>
        <w:tc>
          <w:tcPr>
            <w:tcW w:w="545" w:type="pct"/>
            <w:gridSpan w:val="2"/>
            <w:shd w:val="clear" w:color="auto" w:fill="auto"/>
            <w:tcMar>
              <w:top w:w="15" w:type="dxa"/>
              <w:left w:w="15" w:type="dxa"/>
              <w:right w:w="15" w:type="dxa"/>
            </w:tcMar>
            <w:vAlign w:val="center"/>
          </w:tcPr>
          <w:p w14:paraId="26FFE5CC">
            <w:pPr>
              <w:widowControl/>
              <w:shd w:val="clea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可以对单位处</w:t>
            </w:r>
            <w:r>
              <w:rPr>
                <w:rFonts w:hint="default" w:ascii="Times New Roman" w:hAnsi="Times New Roman" w:cs="Times New Roman" w:eastAsiaTheme="minorEastAsia"/>
                <w:color w:val="auto"/>
                <w:kern w:val="0"/>
                <w:sz w:val="18"/>
                <w:szCs w:val="18"/>
                <w:highlight w:val="none"/>
                <w:lang w:val="en-US" w:eastAsia="zh-CN"/>
              </w:rPr>
              <w:t>1850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3650</w:t>
            </w:r>
            <w:r>
              <w:rPr>
                <w:rFonts w:hint="default" w:ascii="Times New Roman" w:hAnsi="Times New Roman" w:cs="Times New Roman" w:eastAsiaTheme="minorEastAsia"/>
                <w:color w:val="auto"/>
                <w:kern w:val="0"/>
                <w:sz w:val="18"/>
                <w:szCs w:val="18"/>
                <w:highlight w:val="none"/>
              </w:rPr>
              <w:t>元以下罚款，对个人处</w:t>
            </w:r>
            <w:r>
              <w:rPr>
                <w:rFonts w:hint="default" w:ascii="Times New Roman" w:hAnsi="Times New Roman" w:cs="Times New Roman" w:eastAsiaTheme="minorEastAsia"/>
                <w:color w:val="auto"/>
                <w:kern w:val="0"/>
                <w:sz w:val="18"/>
                <w:szCs w:val="18"/>
                <w:highlight w:val="none"/>
                <w:lang w:val="en-US" w:eastAsia="zh-CN"/>
              </w:rPr>
              <w:t>65</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85</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32F7D0B9">
            <w:pPr>
              <w:widowControl/>
              <w:shd w:val="clear"/>
              <w:textAlignment w:val="center"/>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40472424">
            <w:pPr>
              <w:widowControl/>
              <w:shd w:val="clear"/>
              <w:textAlignment w:val="center"/>
              <w:rPr>
                <w:rFonts w:hint="default" w:ascii="Times New Roman" w:hAnsi="Times New Roman" w:cs="Times New Roman" w:eastAsiaTheme="minorEastAsia"/>
                <w:color w:val="auto"/>
                <w:sz w:val="18"/>
                <w:szCs w:val="18"/>
                <w:highlight w:val="none"/>
              </w:rPr>
            </w:pPr>
          </w:p>
        </w:tc>
      </w:tr>
      <w:tr w14:paraId="5ECE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trPr>
        <w:tc>
          <w:tcPr>
            <w:tcW w:w="117" w:type="pct"/>
            <w:gridSpan w:val="2"/>
            <w:vMerge w:val="continue"/>
            <w:shd w:val="clear" w:color="auto" w:fill="auto"/>
            <w:tcMar>
              <w:top w:w="15" w:type="dxa"/>
              <w:left w:w="15" w:type="dxa"/>
              <w:right w:w="15" w:type="dxa"/>
            </w:tcMar>
            <w:vAlign w:val="center"/>
          </w:tcPr>
          <w:p w14:paraId="246269CF">
            <w:pPr>
              <w:widowControl/>
              <w:shd w:val="clear"/>
              <w:jc w:val="center"/>
              <w:textAlignment w:val="center"/>
              <w:rPr>
                <w:rFonts w:hint="default" w:ascii="Times New Roman" w:hAnsi="Times New Roman" w:cs="Times New Roman" w:eastAsiaTheme="minorEastAsia"/>
                <w:color w:val="auto"/>
                <w:kern w:val="0"/>
                <w:sz w:val="18"/>
                <w:szCs w:val="18"/>
                <w:highlight w:val="none"/>
              </w:rPr>
            </w:pPr>
          </w:p>
        </w:tc>
        <w:tc>
          <w:tcPr>
            <w:tcW w:w="411" w:type="pct"/>
            <w:gridSpan w:val="2"/>
            <w:vMerge w:val="continue"/>
            <w:shd w:val="clear" w:color="auto" w:fill="auto"/>
            <w:tcMar>
              <w:top w:w="15" w:type="dxa"/>
              <w:left w:w="15" w:type="dxa"/>
              <w:right w:w="15" w:type="dxa"/>
            </w:tcMar>
            <w:vAlign w:val="center"/>
          </w:tcPr>
          <w:p w14:paraId="7E74958D">
            <w:pPr>
              <w:widowControl/>
              <w:shd w:val="clear"/>
              <w:jc w:val="center"/>
              <w:textAlignment w:val="center"/>
              <w:rPr>
                <w:rFonts w:hint="default" w:ascii="Times New Roman" w:hAnsi="Times New Roman" w:cs="Times New Roman" w:eastAsiaTheme="minorEastAsia"/>
                <w:color w:val="auto"/>
                <w:kern w:val="0"/>
                <w:sz w:val="18"/>
                <w:szCs w:val="18"/>
                <w:highlight w:val="none"/>
              </w:rPr>
            </w:pPr>
          </w:p>
        </w:tc>
        <w:tc>
          <w:tcPr>
            <w:tcW w:w="1310" w:type="pct"/>
            <w:gridSpan w:val="2"/>
            <w:vMerge w:val="continue"/>
            <w:shd w:val="clear" w:color="auto" w:fill="auto"/>
            <w:tcMar>
              <w:top w:w="15" w:type="dxa"/>
              <w:left w:w="15" w:type="dxa"/>
              <w:right w:w="15" w:type="dxa"/>
            </w:tcMar>
            <w:vAlign w:val="center"/>
          </w:tcPr>
          <w:p w14:paraId="213291D2">
            <w:pPr>
              <w:widowControl/>
              <w:shd w:val="clear"/>
              <w:textAlignment w:val="center"/>
              <w:rPr>
                <w:rFonts w:hint="default" w:ascii="Times New Roman" w:hAnsi="Times New Roman" w:cs="Times New Roman" w:eastAsiaTheme="minorEastAsia"/>
                <w:color w:val="auto"/>
                <w:kern w:val="0"/>
                <w:sz w:val="18"/>
                <w:szCs w:val="18"/>
                <w:highlight w:val="none"/>
              </w:rPr>
            </w:pPr>
          </w:p>
        </w:tc>
        <w:tc>
          <w:tcPr>
            <w:tcW w:w="1314" w:type="pct"/>
            <w:gridSpan w:val="2"/>
            <w:vMerge w:val="continue"/>
            <w:shd w:val="clear" w:color="auto" w:fill="auto"/>
            <w:tcMar>
              <w:top w:w="15" w:type="dxa"/>
              <w:left w:w="15" w:type="dxa"/>
              <w:right w:w="15" w:type="dxa"/>
            </w:tcMar>
            <w:vAlign w:val="center"/>
          </w:tcPr>
          <w:p w14:paraId="51635931">
            <w:pPr>
              <w:widowControl/>
              <w:shd w:val="clear"/>
              <w:textAlignment w:val="center"/>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2A987F2D">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br w:type="textWrapping"/>
            </w: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1F40514E">
            <w:pPr>
              <w:widowControl/>
              <w:shd w:val="clear"/>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卫生责任区面积10平方米</w:t>
            </w:r>
            <w:r>
              <w:rPr>
                <w:rFonts w:hint="default" w:ascii="Times New Roman" w:hAnsi="Times New Roman" w:cs="Times New Roman" w:eastAsiaTheme="minorEastAsia"/>
                <w:color w:val="auto"/>
                <w:kern w:val="0"/>
                <w:sz w:val="18"/>
                <w:szCs w:val="18"/>
                <w:highlight w:val="none"/>
                <w:lang w:eastAsia="zh-CN"/>
              </w:rPr>
              <w:t>以上；</w:t>
            </w:r>
          </w:p>
          <w:p w14:paraId="3A45519B">
            <w:pPr>
              <w:widowControl/>
              <w:shd w:val="clear"/>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不按照要求履行责任5项</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0189E03B">
            <w:pPr>
              <w:widowControl/>
              <w:shd w:val="clea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可以对单位处</w:t>
            </w:r>
            <w:r>
              <w:rPr>
                <w:rFonts w:hint="default" w:ascii="Times New Roman" w:hAnsi="Times New Roman" w:cs="Times New Roman" w:eastAsiaTheme="minorEastAsia"/>
                <w:color w:val="auto"/>
                <w:kern w:val="0"/>
                <w:sz w:val="18"/>
                <w:szCs w:val="18"/>
                <w:highlight w:val="none"/>
                <w:lang w:val="en-US" w:eastAsia="zh-CN"/>
              </w:rPr>
              <w:t>3650</w:t>
            </w:r>
            <w:r>
              <w:rPr>
                <w:rFonts w:hint="default" w:ascii="Times New Roman" w:hAnsi="Times New Roman" w:cs="Times New Roman" w:eastAsiaTheme="minorEastAsia"/>
                <w:color w:val="auto"/>
                <w:kern w:val="0"/>
                <w:sz w:val="18"/>
                <w:szCs w:val="18"/>
                <w:highlight w:val="none"/>
              </w:rPr>
              <w:t>元以上5000元以下罚款，对个人处</w:t>
            </w:r>
            <w:r>
              <w:rPr>
                <w:rFonts w:hint="default" w:ascii="Times New Roman" w:hAnsi="Times New Roman" w:cs="Times New Roman" w:eastAsiaTheme="minorEastAsia"/>
                <w:color w:val="auto"/>
                <w:kern w:val="0"/>
                <w:sz w:val="18"/>
                <w:szCs w:val="18"/>
                <w:highlight w:val="none"/>
                <w:lang w:val="en-US" w:eastAsia="zh-CN"/>
              </w:rPr>
              <w:t>85</w:t>
            </w:r>
            <w:r>
              <w:rPr>
                <w:rFonts w:hint="default" w:ascii="Times New Roman" w:hAnsi="Times New Roman" w:cs="Times New Roman" w:eastAsiaTheme="minorEastAsia"/>
                <w:color w:val="auto"/>
                <w:kern w:val="0"/>
                <w:sz w:val="18"/>
                <w:szCs w:val="18"/>
                <w:highlight w:val="none"/>
              </w:rPr>
              <w:t>元以上100元以下的罚款</w:t>
            </w:r>
          </w:p>
        </w:tc>
        <w:tc>
          <w:tcPr>
            <w:tcW w:w="200" w:type="pct"/>
            <w:gridSpan w:val="2"/>
            <w:vMerge w:val="continue"/>
            <w:shd w:val="clear" w:color="auto" w:fill="auto"/>
            <w:tcMar>
              <w:top w:w="15" w:type="dxa"/>
              <w:left w:w="15" w:type="dxa"/>
              <w:right w:w="15" w:type="dxa"/>
            </w:tcMar>
            <w:vAlign w:val="center"/>
          </w:tcPr>
          <w:p w14:paraId="2F0456F6">
            <w:pPr>
              <w:widowControl/>
              <w:shd w:val="clear"/>
              <w:textAlignment w:val="center"/>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6A4C8549">
            <w:pPr>
              <w:widowControl/>
              <w:shd w:val="clear"/>
              <w:textAlignment w:val="center"/>
              <w:rPr>
                <w:rFonts w:hint="default" w:ascii="Times New Roman" w:hAnsi="Times New Roman" w:cs="Times New Roman" w:eastAsiaTheme="minorEastAsia"/>
                <w:color w:val="auto"/>
                <w:sz w:val="18"/>
                <w:szCs w:val="18"/>
                <w:highlight w:val="none"/>
              </w:rPr>
            </w:pPr>
          </w:p>
        </w:tc>
      </w:tr>
      <w:tr w14:paraId="69F2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trPr>
        <w:tc>
          <w:tcPr>
            <w:tcW w:w="117" w:type="pct"/>
            <w:gridSpan w:val="2"/>
            <w:vMerge w:val="restart"/>
            <w:shd w:val="clear" w:color="auto" w:fill="auto"/>
            <w:tcMar>
              <w:top w:w="15" w:type="dxa"/>
              <w:left w:w="15" w:type="dxa"/>
              <w:right w:w="15" w:type="dxa"/>
            </w:tcMar>
            <w:vAlign w:val="center"/>
          </w:tcPr>
          <w:p w14:paraId="7DBAB788">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7</w:t>
            </w:r>
          </w:p>
        </w:tc>
        <w:tc>
          <w:tcPr>
            <w:tcW w:w="411" w:type="pct"/>
            <w:gridSpan w:val="2"/>
            <w:vMerge w:val="restart"/>
            <w:shd w:val="clear" w:color="auto" w:fill="auto"/>
            <w:tcMar>
              <w:top w:w="15" w:type="dxa"/>
              <w:left w:w="15" w:type="dxa"/>
              <w:right w:w="15" w:type="dxa"/>
            </w:tcMar>
            <w:vAlign w:val="center"/>
          </w:tcPr>
          <w:p w14:paraId="33761D49">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未按照分类规定投放生活垃圾，情节严重的</w:t>
            </w:r>
          </w:p>
        </w:tc>
        <w:tc>
          <w:tcPr>
            <w:tcW w:w="1310" w:type="pct"/>
            <w:gridSpan w:val="2"/>
            <w:vMerge w:val="restart"/>
            <w:shd w:val="clear" w:color="auto" w:fill="auto"/>
            <w:tcMar>
              <w:top w:w="15" w:type="dxa"/>
              <w:left w:w="15" w:type="dxa"/>
              <w:right w:w="15" w:type="dxa"/>
            </w:tcMar>
            <w:vAlign w:val="center"/>
          </w:tcPr>
          <w:p w14:paraId="07B906D6">
            <w:pPr>
              <w:widowControl/>
              <w:numPr>
                <w:ilvl w:val="255"/>
                <w:numId w:val="0"/>
              </w:numPr>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1.《中华人民共和国固体废物污染环境防治法</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第四十九条第二款：“任何单位和个人都应当依法在指定的地点分类投放生活垃圾。禁止随意倾倒、抛撒、堆放或者焚烧生活垃圾。”</w:t>
            </w:r>
          </w:p>
          <w:p w14:paraId="7E24C9C0">
            <w:pPr>
              <w:widowControl/>
              <w:numPr>
                <w:ilvl w:val="255"/>
                <w:numId w:val="0"/>
              </w:numPr>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2.《广东省城乡生活垃圾管理条例》第二十条第一款：“任何单位和个人都应当按照分类规定，在指定的地点将生活垃圾分类投放至相应的收集容器。其中，可回收物还可以交售至回收服务点或者回收经营者。”</w:t>
            </w:r>
          </w:p>
          <w:p w14:paraId="77E2F0AF">
            <w:pPr>
              <w:widowControl/>
              <w:numPr>
                <w:ilvl w:val="255"/>
                <w:numId w:val="0"/>
              </w:numPr>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3.《东莞市生活垃圾分类管理规定》第二十七条第一、二款：“本市推行定时定点投放制度，单位和个人应当按照有关规定以及生活垃圾分类投放管理责任人公告的方式、时间、地点等要求，将生活垃圾分类投放到有相应标识的收集容器内或者指定的收集点。</w:t>
            </w:r>
          </w:p>
          <w:p w14:paraId="46BB47DE">
            <w:pPr>
              <w:widowControl/>
              <w:numPr>
                <w:ilvl w:val="255"/>
                <w:numId w:val="0"/>
              </w:numPr>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投放生活垃圾应当遵守下列规定：（一）可回收物应当投放至可回收物收集容器（点）或交售至回收服务点、回收经营者；（二）有害垃圾应保持其完整性或封装包裹投放至有害垃圾收集容器；（三）家庭厨余垃圾应滤干液体、去除纸巾等杂物后投放至厨余垃圾收集容器；餐厨垃圾和其他厨余垃圾应当进行渣水分离或者油水分离，投放至厨余垃圾收集容器或者指定投放点；（四）其他垃圾应当按照要求投放至其他垃圾收集容器；（五）大件生活垃圾应当预约环境卫生作业单位、再生资源回收站回收，或者自行投放至指定的专门收集点。”</w:t>
            </w:r>
          </w:p>
        </w:tc>
        <w:tc>
          <w:tcPr>
            <w:tcW w:w="1314" w:type="pct"/>
            <w:gridSpan w:val="2"/>
            <w:vMerge w:val="restart"/>
            <w:shd w:val="clear" w:color="auto" w:fill="auto"/>
            <w:tcMar>
              <w:top w:w="15" w:type="dxa"/>
              <w:left w:w="15" w:type="dxa"/>
              <w:right w:w="15" w:type="dxa"/>
            </w:tcMar>
            <w:vAlign w:val="center"/>
          </w:tcPr>
          <w:p w14:paraId="28C5F56F">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1.《中华人民共和国固体废物污染环境防治法》第一百一十一条第三款：“违反本法规定，未在指定的地点分类投放生活垃圾的，由县级以上地方人民政府环境卫生主管部门责令改正；情节严重的，对单位处五万元以上五十万元以下的罚款，</w:t>
            </w:r>
            <w:r>
              <w:rPr>
                <w:rFonts w:hint="default" w:ascii="Times New Roman" w:hAnsi="Times New Roman" w:cs="Times New Roman" w:eastAsiaTheme="minorEastAsia"/>
                <w:color w:val="auto"/>
                <w:kern w:val="0"/>
                <w:sz w:val="18"/>
                <w:szCs w:val="18"/>
                <w:highlight w:val="none"/>
                <w:shd w:val="clear" w:color="auto" w:fill="auto"/>
              </w:rPr>
              <w:t>对个人依法处以罚款</w:t>
            </w:r>
            <w:r>
              <w:rPr>
                <w:rFonts w:hint="default" w:ascii="Times New Roman" w:hAnsi="Times New Roman" w:cs="Times New Roman" w:eastAsiaTheme="minorEastAsia"/>
                <w:color w:val="auto"/>
                <w:kern w:val="0"/>
                <w:sz w:val="18"/>
                <w:szCs w:val="18"/>
                <w:highlight w:val="none"/>
              </w:rPr>
              <w:t>。”</w:t>
            </w:r>
          </w:p>
          <w:p w14:paraId="529E3685">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2.《广东省城乡生活垃圾管理条例》第五十三条：“违反本条例第二十条第一款、第二十三条第一款规定，未按照分类规定投放生活垃圾，或者未按规定投放体积较大的废弃物品的，由县级以上人民政府环境卫生主管部门责令改正；情节严重的，对单位处五万元以上五十万元以下的罚款，对个人处一百元以上五百元以下的罚款。”</w:t>
            </w:r>
          </w:p>
          <w:p w14:paraId="068E73E7">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3.《东莞市生活垃圾分类管理规定》第四十二条第一款：“违反本规定第二十七条第一款、第二款规定，未按照分类规定投放生活垃圾，由城市管理综合执法部门责令改正；情节严重的，对单位处五万元以上五十万元以下的罚款，对个人处一百元以上五百元以下的罚款。”</w:t>
            </w:r>
          </w:p>
        </w:tc>
        <w:tc>
          <w:tcPr>
            <w:tcW w:w="177" w:type="pct"/>
            <w:gridSpan w:val="2"/>
            <w:shd w:val="clear" w:color="auto" w:fill="auto"/>
            <w:tcMar>
              <w:top w:w="15" w:type="dxa"/>
              <w:left w:w="15" w:type="dxa"/>
              <w:right w:w="15" w:type="dxa"/>
            </w:tcMar>
            <w:vAlign w:val="center"/>
          </w:tcPr>
          <w:p w14:paraId="725618ED">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1F7EB53D">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单位：</w:t>
            </w:r>
            <w:r>
              <w:rPr>
                <w:rFonts w:hint="default" w:ascii="Times New Roman" w:hAnsi="Times New Roman" w:cs="Times New Roman" w:eastAsiaTheme="minorEastAsia"/>
                <w:color w:val="auto"/>
                <w:kern w:val="0"/>
                <w:sz w:val="18"/>
                <w:szCs w:val="18"/>
                <w:highlight w:val="none"/>
                <w:lang w:eastAsia="zh-CN"/>
              </w:rPr>
              <w:t>垃圾体积</w:t>
            </w:r>
            <w:r>
              <w:rPr>
                <w:rFonts w:hint="default" w:ascii="Times New Roman" w:hAnsi="Times New Roman" w:cs="Times New Roman" w:eastAsiaTheme="minorEastAsia"/>
                <w:color w:val="auto"/>
                <w:kern w:val="0"/>
                <w:sz w:val="18"/>
                <w:szCs w:val="18"/>
                <w:highlight w:val="none"/>
                <w:lang w:val="en-US" w:eastAsia="zh-CN"/>
              </w:rPr>
              <w:t>1立方米以上10立方米以下</w:t>
            </w:r>
            <w:r>
              <w:rPr>
                <w:rFonts w:hint="default" w:ascii="Times New Roman" w:hAnsi="Times New Roman" w:cs="Times New Roman" w:eastAsiaTheme="minorEastAsia"/>
                <w:color w:val="auto"/>
                <w:kern w:val="0"/>
                <w:sz w:val="18"/>
                <w:szCs w:val="18"/>
                <w:highlight w:val="none"/>
              </w:rPr>
              <w:t>；</w:t>
            </w:r>
          </w:p>
          <w:p w14:paraId="51EC38B5">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个人：</w:t>
            </w:r>
            <w:r>
              <w:rPr>
                <w:rFonts w:hint="default" w:ascii="Times New Roman" w:hAnsi="Times New Roman" w:cs="Times New Roman" w:eastAsiaTheme="minorEastAsia"/>
                <w:color w:val="auto"/>
                <w:kern w:val="0"/>
                <w:sz w:val="18"/>
                <w:szCs w:val="18"/>
                <w:highlight w:val="none"/>
                <w:lang w:eastAsia="zh-CN"/>
              </w:rPr>
              <w:t>垃圾体积</w:t>
            </w:r>
            <w:r>
              <w:rPr>
                <w:rFonts w:hint="default" w:ascii="Times New Roman" w:hAnsi="Times New Roman" w:cs="Times New Roman" w:eastAsiaTheme="minorEastAsia"/>
                <w:color w:val="auto"/>
                <w:kern w:val="0"/>
                <w:sz w:val="18"/>
                <w:szCs w:val="18"/>
                <w:highlight w:val="none"/>
                <w:lang w:val="en-US" w:eastAsia="zh-CN"/>
              </w:rPr>
              <w:t>0.5立方米以上1立方米以下</w:t>
            </w:r>
          </w:p>
        </w:tc>
        <w:tc>
          <w:tcPr>
            <w:tcW w:w="545" w:type="pct"/>
            <w:gridSpan w:val="2"/>
            <w:shd w:val="clear" w:color="auto" w:fill="auto"/>
            <w:tcMar>
              <w:top w:w="15" w:type="dxa"/>
              <w:left w:w="15" w:type="dxa"/>
              <w:right w:w="15" w:type="dxa"/>
            </w:tcMar>
            <w:vAlign w:val="center"/>
          </w:tcPr>
          <w:p w14:paraId="37F4071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对单位处</w:t>
            </w:r>
            <w:r>
              <w:rPr>
                <w:rFonts w:hint="default" w:ascii="Times New Roman" w:hAnsi="Times New Roman" w:cs="Times New Roman" w:eastAsiaTheme="minorEastAsia"/>
                <w:color w:val="auto"/>
                <w:kern w:val="0"/>
                <w:sz w:val="18"/>
                <w:szCs w:val="18"/>
                <w:highlight w:val="none"/>
                <w:lang w:val="en-US" w:eastAsia="zh-CN"/>
              </w:rPr>
              <w:t>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18.5万</w:t>
            </w:r>
            <w:r>
              <w:rPr>
                <w:rFonts w:hint="default" w:ascii="Times New Roman" w:hAnsi="Times New Roman" w:cs="Times New Roman" w:eastAsiaTheme="minorEastAsia"/>
                <w:color w:val="auto"/>
                <w:kern w:val="0"/>
                <w:sz w:val="18"/>
                <w:szCs w:val="18"/>
                <w:highlight w:val="none"/>
              </w:rPr>
              <w:t>元以下的罚款，对个人处100元以上</w:t>
            </w:r>
            <w:r>
              <w:rPr>
                <w:rFonts w:hint="default" w:ascii="Times New Roman" w:hAnsi="Times New Roman" w:cs="Times New Roman" w:eastAsiaTheme="minorEastAsia"/>
                <w:color w:val="auto"/>
                <w:kern w:val="0"/>
                <w:sz w:val="18"/>
                <w:szCs w:val="18"/>
                <w:highlight w:val="none"/>
                <w:lang w:val="en-US" w:eastAsia="zh-CN"/>
              </w:rPr>
              <w:t>220</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restart"/>
            <w:shd w:val="clear" w:color="auto" w:fill="auto"/>
            <w:tcMar>
              <w:top w:w="15" w:type="dxa"/>
              <w:left w:w="15" w:type="dxa"/>
              <w:right w:w="15" w:type="dxa"/>
            </w:tcMar>
            <w:vAlign w:val="center"/>
          </w:tcPr>
          <w:p w14:paraId="61FB2F65">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责令改正</w:t>
            </w:r>
          </w:p>
          <w:p w14:paraId="0FA18CB4">
            <w:pPr>
              <w:widowControl/>
              <w:shd w:val="clear"/>
              <w:jc w:val="left"/>
              <w:textAlignment w:val="center"/>
              <w:rPr>
                <w:rFonts w:hint="default" w:ascii="Times New Roman" w:hAnsi="Times New Roman" w:cs="Times New Roman" w:eastAsiaTheme="minorEastAsia"/>
                <w:color w:val="auto"/>
                <w:sz w:val="18"/>
                <w:szCs w:val="18"/>
                <w:highlight w:val="none"/>
              </w:rPr>
            </w:pPr>
          </w:p>
          <w:p w14:paraId="570CFE2F">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744FBAC2">
            <w:pPr>
              <w:shd w:val="clear"/>
              <w:jc w:val="left"/>
              <w:rPr>
                <w:rFonts w:hint="default" w:ascii="Times New Roman" w:hAnsi="Times New Roman" w:cs="Times New Roman" w:eastAsiaTheme="minorEastAsia"/>
                <w:color w:val="auto"/>
                <w:sz w:val="18"/>
                <w:szCs w:val="18"/>
                <w:highlight w:val="none"/>
                <w:lang w:val="en-US" w:eastAsia="zh-CN"/>
              </w:rPr>
            </w:pPr>
          </w:p>
        </w:tc>
      </w:tr>
      <w:tr w14:paraId="0D06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trPr>
        <w:tc>
          <w:tcPr>
            <w:tcW w:w="117" w:type="pct"/>
            <w:gridSpan w:val="2"/>
            <w:vMerge w:val="continue"/>
            <w:shd w:val="clear" w:color="auto" w:fill="auto"/>
            <w:tcMar>
              <w:top w:w="15" w:type="dxa"/>
              <w:left w:w="15" w:type="dxa"/>
              <w:right w:w="15" w:type="dxa"/>
            </w:tcMar>
            <w:vAlign w:val="center"/>
          </w:tcPr>
          <w:p w14:paraId="1C2C3430">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3D3726E7">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708C20D5">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2ECF920B">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1410A596">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61EF6A98">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单位：</w:t>
            </w:r>
            <w:r>
              <w:rPr>
                <w:rFonts w:hint="default" w:ascii="Times New Roman" w:hAnsi="Times New Roman" w:cs="Times New Roman" w:eastAsiaTheme="minorEastAsia"/>
                <w:color w:val="auto"/>
                <w:kern w:val="0"/>
                <w:sz w:val="18"/>
                <w:szCs w:val="18"/>
                <w:highlight w:val="none"/>
                <w:lang w:eastAsia="zh-CN"/>
              </w:rPr>
              <w:t>垃圾体积</w:t>
            </w:r>
            <w:r>
              <w:rPr>
                <w:rFonts w:hint="default" w:ascii="Times New Roman" w:hAnsi="Times New Roman" w:cs="Times New Roman" w:eastAsiaTheme="minorEastAsia"/>
                <w:color w:val="auto"/>
                <w:kern w:val="0"/>
                <w:sz w:val="18"/>
                <w:szCs w:val="18"/>
                <w:highlight w:val="none"/>
                <w:lang w:val="en-US" w:eastAsia="zh-CN"/>
              </w:rPr>
              <w:t>10立方米以上30立方米以下</w:t>
            </w:r>
            <w:r>
              <w:rPr>
                <w:rFonts w:hint="default" w:ascii="Times New Roman" w:hAnsi="Times New Roman" w:cs="Times New Roman" w:eastAsiaTheme="minorEastAsia"/>
                <w:color w:val="auto"/>
                <w:kern w:val="0"/>
                <w:sz w:val="18"/>
                <w:szCs w:val="18"/>
                <w:highlight w:val="none"/>
              </w:rPr>
              <w:t>；</w:t>
            </w:r>
          </w:p>
          <w:p w14:paraId="303D3127">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个人：</w:t>
            </w:r>
            <w:r>
              <w:rPr>
                <w:rFonts w:hint="default" w:ascii="Times New Roman" w:hAnsi="Times New Roman" w:cs="Times New Roman" w:eastAsiaTheme="minorEastAsia"/>
                <w:color w:val="auto"/>
                <w:kern w:val="0"/>
                <w:sz w:val="18"/>
                <w:szCs w:val="18"/>
                <w:highlight w:val="none"/>
                <w:lang w:eastAsia="zh-CN"/>
              </w:rPr>
              <w:t>垃圾体积</w:t>
            </w:r>
            <w:r>
              <w:rPr>
                <w:rFonts w:hint="default" w:ascii="Times New Roman" w:hAnsi="Times New Roman" w:cs="Times New Roman" w:eastAsiaTheme="minorEastAsia"/>
                <w:color w:val="auto"/>
                <w:kern w:val="0"/>
                <w:sz w:val="18"/>
                <w:szCs w:val="18"/>
                <w:highlight w:val="none"/>
                <w:lang w:val="en-US" w:eastAsia="zh-CN"/>
              </w:rPr>
              <w:t>1立方米以上3立方米以下</w:t>
            </w:r>
          </w:p>
        </w:tc>
        <w:tc>
          <w:tcPr>
            <w:tcW w:w="545" w:type="pct"/>
            <w:gridSpan w:val="2"/>
            <w:shd w:val="clear" w:color="auto" w:fill="auto"/>
            <w:tcMar>
              <w:top w:w="15" w:type="dxa"/>
              <w:left w:w="15" w:type="dxa"/>
              <w:right w:w="15" w:type="dxa"/>
            </w:tcMar>
            <w:vAlign w:val="center"/>
          </w:tcPr>
          <w:p w14:paraId="0D63A347">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对单位处</w:t>
            </w:r>
            <w:r>
              <w:rPr>
                <w:rFonts w:hint="default" w:ascii="Times New Roman" w:hAnsi="Times New Roman" w:cs="Times New Roman" w:eastAsiaTheme="minorEastAsia"/>
                <w:color w:val="auto"/>
                <w:kern w:val="0"/>
                <w:sz w:val="18"/>
                <w:szCs w:val="18"/>
                <w:highlight w:val="none"/>
                <w:lang w:val="en-US" w:eastAsia="zh-CN"/>
              </w:rPr>
              <w:t>18.5万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36.5万</w:t>
            </w:r>
            <w:r>
              <w:rPr>
                <w:rFonts w:hint="default" w:ascii="Times New Roman" w:hAnsi="Times New Roman" w:cs="Times New Roman" w:eastAsiaTheme="minorEastAsia"/>
                <w:color w:val="auto"/>
                <w:kern w:val="0"/>
                <w:sz w:val="18"/>
                <w:szCs w:val="18"/>
                <w:highlight w:val="none"/>
              </w:rPr>
              <w:t>元以下的罚款，对个人处</w:t>
            </w:r>
            <w:r>
              <w:rPr>
                <w:rFonts w:hint="default" w:ascii="Times New Roman" w:hAnsi="Times New Roman" w:cs="Times New Roman" w:eastAsiaTheme="minorEastAsia"/>
                <w:color w:val="auto"/>
                <w:kern w:val="0"/>
                <w:sz w:val="18"/>
                <w:szCs w:val="18"/>
                <w:highlight w:val="none"/>
                <w:lang w:val="en-US" w:eastAsia="zh-CN"/>
              </w:rPr>
              <w:t>220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380</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23204F85">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64F85917">
            <w:pPr>
              <w:shd w:val="clear"/>
              <w:jc w:val="left"/>
              <w:rPr>
                <w:rFonts w:hint="default" w:ascii="Times New Roman" w:hAnsi="Times New Roman" w:cs="Times New Roman" w:eastAsiaTheme="minorEastAsia"/>
                <w:color w:val="auto"/>
                <w:sz w:val="18"/>
                <w:szCs w:val="18"/>
                <w:highlight w:val="none"/>
              </w:rPr>
            </w:pPr>
          </w:p>
        </w:tc>
      </w:tr>
      <w:tr w14:paraId="3F9C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trPr>
        <w:tc>
          <w:tcPr>
            <w:tcW w:w="117" w:type="pct"/>
            <w:gridSpan w:val="2"/>
            <w:vMerge w:val="continue"/>
            <w:shd w:val="clear" w:color="auto" w:fill="auto"/>
            <w:tcMar>
              <w:top w:w="15" w:type="dxa"/>
              <w:left w:w="15" w:type="dxa"/>
              <w:right w:w="15" w:type="dxa"/>
            </w:tcMar>
            <w:vAlign w:val="center"/>
          </w:tcPr>
          <w:p w14:paraId="3A382268">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01346686">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28D96E9B">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3ED9A52C">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49DBBBB5">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56C3B944">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单位：</w:t>
            </w:r>
            <w:r>
              <w:rPr>
                <w:rFonts w:hint="default" w:ascii="Times New Roman" w:hAnsi="Times New Roman" w:cs="Times New Roman" w:eastAsiaTheme="minorEastAsia"/>
                <w:color w:val="auto"/>
                <w:kern w:val="0"/>
                <w:sz w:val="18"/>
                <w:szCs w:val="18"/>
                <w:highlight w:val="none"/>
                <w:lang w:eastAsia="zh-CN"/>
              </w:rPr>
              <w:t>垃圾体积</w:t>
            </w:r>
            <w:r>
              <w:rPr>
                <w:rFonts w:hint="default" w:ascii="Times New Roman" w:hAnsi="Times New Roman" w:cs="Times New Roman" w:eastAsiaTheme="minorEastAsia"/>
                <w:color w:val="auto"/>
                <w:kern w:val="0"/>
                <w:sz w:val="18"/>
                <w:szCs w:val="18"/>
                <w:highlight w:val="none"/>
                <w:lang w:val="en-US" w:eastAsia="zh-CN"/>
              </w:rPr>
              <w:t>30立方米以上</w:t>
            </w:r>
            <w:r>
              <w:rPr>
                <w:rFonts w:hint="default" w:ascii="Times New Roman" w:hAnsi="Times New Roman" w:cs="Times New Roman" w:eastAsiaTheme="minorEastAsia"/>
                <w:color w:val="auto"/>
                <w:kern w:val="0"/>
                <w:sz w:val="18"/>
                <w:szCs w:val="18"/>
                <w:highlight w:val="none"/>
              </w:rPr>
              <w:t>；</w:t>
            </w:r>
          </w:p>
          <w:p w14:paraId="090C3360">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个人：</w:t>
            </w:r>
            <w:r>
              <w:rPr>
                <w:rFonts w:hint="default" w:ascii="Times New Roman" w:hAnsi="Times New Roman" w:cs="Times New Roman" w:eastAsiaTheme="minorEastAsia"/>
                <w:color w:val="auto"/>
                <w:kern w:val="0"/>
                <w:sz w:val="18"/>
                <w:szCs w:val="18"/>
                <w:highlight w:val="none"/>
                <w:lang w:eastAsia="zh-CN"/>
              </w:rPr>
              <w:t>垃圾体积</w:t>
            </w:r>
            <w:r>
              <w:rPr>
                <w:rFonts w:hint="default" w:ascii="Times New Roman" w:hAnsi="Times New Roman" w:cs="Times New Roman" w:eastAsiaTheme="minorEastAsia"/>
                <w:color w:val="auto"/>
                <w:kern w:val="0"/>
                <w:sz w:val="18"/>
                <w:szCs w:val="18"/>
                <w:highlight w:val="none"/>
                <w:lang w:val="en-US" w:eastAsia="zh-CN"/>
              </w:rPr>
              <w:t>3立方米以上</w:t>
            </w:r>
          </w:p>
        </w:tc>
        <w:tc>
          <w:tcPr>
            <w:tcW w:w="545" w:type="pct"/>
            <w:gridSpan w:val="2"/>
            <w:shd w:val="clear" w:color="auto" w:fill="auto"/>
            <w:tcMar>
              <w:top w:w="15" w:type="dxa"/>
              <w:left w:w="15" w:type="dxa"/>
              <w:right w:w="15" w:type="dxa"/>
            </w:tcMar>
            <w:vAlign w:val="center"/>
          </w:tcPr>
          <w:p w14:paraId="3661BA67">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对单位处</w:t>
            </w:r>
            <w:r>
              <w:rPr>
                <w:rFonts w:hint="default" w:ascii="Times New Roman" w:hAnsi="Times New Roman" w:cs="Times New Roman" w:eastAsiaTheme="minorEastAsia"/>
                <w:color w:val="auto"/>
                <w:kern w:val="0"/>
                <w:sz w:val="18"/>
                <w:szCs w:val="18"/>
                <w:highlight w:val="none"/>
                <w:lang w:val="en-US" w:eastAsia="zh-CN"/>
              </w:rPr>
              <w:t>36.5万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50万</w:t>
            </w:r>
            <w:r>
              <w:rPr>
                <w:rFonts w:hint="default" w:ascii="Times New Roman" w:hAnsi="Times New Roman" w:cs="Times New Roman" w:eastAsiaTheme="minorEastAsia"/>
                <w:color w:val="auto"/>
                <w:kern w:val="0"/>
                <w:sz w:val="18"/>
                <w:szCs w:val="18"/>
                <w:highlight w:val="none"/>
              </w:rPr>
              <w:t>元以下的罚款，对个人处</w:t>
            </w:r>
            <w:r>
              <w:rPr>
                <w:rFonts w:hint="default" w:ascii="Times New Roman" w:hAnsi="Times New Roman" w:cs="Times New Roman" w:eastAsiaTheme="minorEastAsia"/>
                <w:color w:val="auto"/>
                <w:kern w:val="0"/>
                <w:sz w:val="18"/>
                <w:szCs w:val="18"/>
                <w:highlight w:val="none"/>
                <w:lang w:val="en-US" w:eastAsia="zh-CN"/>
              </w:rPr>
              <w:t>380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500</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550F605C">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4D25884B">
            <w:pPr>
              <w:shd w:val="clear"/>
              <w:jc w:val="left"/>
              <w:rPr>
                <w:rFonts w:hint="default" w:ascii="Times New Roman" w:hAnsi="Times New Roman" w:cs="Times New Roman" w:eastAsiaTheme="minorEastAsia"/>
                <w:color w:val="auto"/>
                <w:sz w:val="18"/>
                <w:szCs w:val="18"/>
                <w:highlight w:val="none"/>
              </w:rPr>
            </w:pPr>
          </w:p>
        </w:tc>
      </w:tr>
      <w:tr w14:paraId="4B98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2" w:hRule="atLeast"/>
        </w:trPr>
        <w:tc>
          <w:tcPr>
            <w:tcW w:w="117" w:type="pct"/>
            <w:gridSpan w:val="2"/>
            <w:vMerge w:val="restart"/>
            <w:shd w:val="clear" w:color="auto" w:fill="auto"/>
            <w:tcMar>
              <w:top w:w="15" w:type="dxa"/>
              <w:left w:w="15" w:type="dxa"/>
              <w:right w:w="15" w:type="dxa"/>
            </w:tcMar>
            <w:vAlign w:val="center"/>
          </w:tcPr>
          <w:p w14:paraId="1FBB724A">
            <w:pPr>
              <w:shd w:val="clear"/>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8</w:t>
            </w:r>
          </w:p>
        </w:tc>
        <w:tc>
          <w:tcPr>
            <w:tcW w:w="411" w:type="pct"/>
            <w:gridSpan w:val="2"/>
            <w:vMerge w:val="restart"/>
            <w:shd w:val="clear" w:color="auto" w:fill="auto"/>
            <w:tcMar>
              <w:top w:w="15" w:type="dxa"/>
              <w:left w:w="15" w:type="dxa"/>
              <w:right w:w="15" w:type="dxa"/>
            </w:tcMar>
            <w:vAlign w:val="center"/>
          </w:tcPr>
          <w:p w14:paraId="5B9B4EE1">
            <w:pPr>
              <w:shd w:val="clear"/>
              <w:jc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随意倾倒、抛撒、堆放或者焚烧生活垃圾</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3E982843">
            <w:pPr>
              <w:numPr>
                <w:ilvl w:val="-1"/>
                <w:numId w:val="0"/>
              </w:numPr>
              <w:shd w:val="clear"/>
              <w:tabs>
                <w:tab w:val="left" w:pos="220"/>
              </w:tabs>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1.</w:t>
            </w:r>
            <w:r>
              <w:rPr>
                <w:rFonts w:hint="default" w:ascii="Times New Roman" w:hAnsi="Times New Roman" w:cs="Times New Roman" w:eastAsiaTheme="minorEastAsia"/>
                <w:color w:val="auto"/>
                <w:kern w:val="0"/>
                <w:sz w:val="18"/>
                <w:szCs w:val="18"/>
                <w:highlight w:val="none"/>
              </w:rPr>
              <w:t>《中华人民共和国固体废物污染环境防治法》第四十九条第二款：“任何单位和个人都应当依法在指定的地点分类投放生活垃圾。禁止随意倾倒、抛撒、堆放或者焚烧生活垃圾。”</w:t>
            </w:r>
          </w:p>
          <w:p w14:paraId="4B382D76">
            <w:pPr>
              <w:numPr>
                <w:ilvl w:val="-1"/>
                <w:numId w:val="0"/>
              </w:numPr>
              <w:shd w:val="clear"/>
              <w:tabs>
                <w:tab w:val="left" w:pos="220"/>
              </w:tabs>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2.</w:t>
            </w:r>
            <w:r>
              <w:rPr>
                <w:rFonts w:hint="default" w:ascii="Times New Roman" w:hAnsi="Times New Roman" w:cs="Times New Roman" w:eastAsiaTheme="minorEastAsia"/>
                <w:color w:val="auto"/>
                <w:kern w:val="0"/>
                <w:sz w:val="18"/>
                <w:szCs w:val="18"/>
                <w:highlight w:val="none"/>
              </w:rPr>
              <w:t>《东莞市生活垃圾分类管理规定》第二十七条第三款：“禁止随意倾倒、抛撒、堆放或者焚烧生活垃圾。”</w:t>
            </w:r>
          </w:p>
        </w:tc>
        <w:tc>
          <w:tcPr>
            <w:tcW w:w="1314" w:type="pct"/>
            <w:gridSpan w:val="2"/>
            <w:vMerge w:val="restart"/>
            <w:shd w:val="clear" w:color="auto" w:fill="auto"/>
            <w:tcMar>
              <w:top w:w="15" w:type="dxa"/>
              <w:left w:w="15" w:type="dxa"/>
              <w:right w:w="15" w:type="dxa"/>
            </w:tcMar>
            <w:vAlign w:val="center"/>
          </w:tcPr>
          <w:p w14:paraId="716A1B62">
            <w:pPr>
              <w:numPr>
                <w:ilvl w:val="-1"/>
                <w:numId w:val="0"/>
              </w:num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1.</w:t>
            </w:r>
            <w:r>
              <w:rPr>
                <w:rFonts w:hint="default" w:ascii="Times New Roman" w:hAnsi="Times New Roman" w:cs="Times New Roman" w:eastAsiaTheme="minorEastAsia"/>
                <w:color w:val="auto"/>
                <w:kern w:val="0"/>
                <w:sz w:val="18"/>
                <w:szCs w:val="18"/>
                <w:highlight w:val="none"/>
              </w:rPr>
              <w:t>《中华人民共和国固体废物污染环境防治法》第一百一十一条：“违反本法规定，有下列行为之一，由县级以上地方人民政府环境卫生主管部门责令改正，处以罚款，没收违法所得：（一）随意倾倒、抛撒、堆放或者焚烧生活垃圾的；”“单位有前款第一项、第七项行为之一，处五万元以上五十万元以下的罚款；......个人有前款第一项、第五项、第七项行为之一，处一百元以上五百元以下的罚款。”</w:t>
            </w:r>
          </w:p>
          <w:p w14:paraId="7FF53681">
            <w:pPr>
              <w:numPr>
                <w:ilvl w:val="-1"/>
                <w:numId w:val="0"/>
              </w:num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2.</w:t>
            </w:r>
            <w:r>
              <w:rPr>
                <w:rFonts w:hint="default" w:ascii="Times New Roman" w:hAnsi="Times New Roman" w:cs="Times New Roman" w:eastAsiaTheme="minorEastAsia"/>
                <w:color w:val="auto"/>
                <w:kern w:val="0"/>
                <w:sz w:val="18"/>
                <w:szCs w:val="18"/>
                <w:highlight w:val="none"/>
              </w:rPr>
              <w:t>《东莞市生活垃圾分类管理规定》 第四十二条第二款：“违反本规定第二十七条第三款规定，随意倾倒、抛撒、堆放或者焚烧生活垃圾的，由城市管理综合执法部门责令改正，没收违法所得，对单位处五万元以上五十万元以下的罚款，对个人处一百元以上五百元以下的罚款。”</w:t>
            </w:r>
          </w:p>
        </w:tc>
        <w:tc>
          <w:tcPr>
            <w:tcW w:w="177" w:type="pct"/>
            <w:gridSpan w:val="2"/>
            <w:shd w:val="clear" w:color="auto" w:fill="auto"/>
            <w:tcMar>
              <w:top w:w="15" w:type="dxa"/>
              <w:left w:w="15" w:type="dxa"/>
              <w:right w:w="15" w:type="dxa"/>
            </w:tcMar>
            <w:vAlign w:val="center"/>
          </w:tcPr>
          <w:p w14:paraId="2AAA69F2">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6A37FBD3">
            <w:pPr>
              <w:widowControl/>
              <w:shd w:val="clea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单位：随意倾倒、抛撒、堆放或者焚烧生活垃圾</w:t>
            </w:r>
            <w:r>
              <w:rPr>
                <w:rFonts w:hint="default" w:ascii="Times New Roman" w:hAnsi="Times New Roman" w:cs="Times New Roman" w:eastAsiaTheme="minorEastAsia"/>
                <w:color w:val="auto"/>
                <w:kern w:val="0"/>
                <w:sz w:val="18"/>
                <w:szCs w:val="18"/>
                <w:highlight w:val="none"/>
                <w:lang w:val="en-US" w:eastAsia="zh-CN"/>
              </w:rPr>
              <w:t>10立方米以下或20平方米以下</w:t>
            </w:r>
            <w:r>
              <w:rPr>
                <w:rFonts w:hint="default" w:ascii="Times New Roman" w:hAnsi="Times New Roman" w:cs="Times New Roman" w:eastAsiaTheme="minorEastAsia"/>
                <w:color w:val="auto"/>
                <w:kern w:val="0"/>
                <w:sz w:val="18"/>
                <w:szCs w:val="18"/>
                <w:highlight w:val="none"/>
              </w:rPr>
              <w:t>；</w:t>
            </w:r>
          </w:p>
          <w:p w14:paraId="4875DFC2">
            <w:pPr>
              <w:widowControl/>
              <w:shd w:val="clea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个人：随意倾倒、抛撒、堆放或者焚烧生活垃圾</w:t>
            </w:r>
            <w:r>
              <w:rPr>
                <w:rFonts w:hint="default" w:ascii="Times New Roman" w:hAnsi="Times New Roman" w:cs="Times New Roman" w:eastAsiaTheme="minorEastAsia"/>
                <w:color w:val="auto"/>
                <w:kern w:val="0"/>
                <w:sz w:val="18"/>
                <w:szCs w:val="18"/>
                <w:highlight w:val="none"/>
                <w:lang w:val="en-US" w:eastAsia="zh-CN"/>
              </w:rPr>
              <w:t>1</w:t>
            </w:r>
            <w:r>
              <w:rPr>
                <w:rFonts w:hint="default" w:ascii="Times New Roman" w:hAnsi="Times New Roman" w:cs="Times New Roman" w:eastAsiaTheme="minorEastAsia"/>
                <w:color w:val="auto"/>
                <w:kern w:val="0"/>
                <w:sz w:val="18"/>
                <w:szCs w:val="18"/>
                <w:highlight w:val="none"/>
              </w:rPr>
              <w:t>立方米</w:t>
            </w:r>
            <w:r>
              <w:rPr>
                <w:rFonts w:hint="default" w:ascii="Times New Roman" w:hAnsi="Times New Roman" w:cs="Times New Roman" w:eastAsiaTheme="minorEastAsia"/>
                <w:color w:val="auto"/>
                <w:kern w:val="0"/>
                <w:sz w:val="18"/>
                <w:szCs w:val="18"/>
                <w:highlight w:val="none"/>
                <w:lang w:eastAsia="zh-CN"/>
              </w:rPr>
              <w:t>以下或</w:t>
            </w:r>
            <w:r>
              <w:rPr>
                <w:rFonts w:hint="default" w:ascii="Times New Roman" w:hAnsi="Times New Roman" w:cs="Times New Roman" w:eastAsiaTheme="minorEastAsia"/>
                <w:color w:val="auto"/>
                <w:kern w:val="0"/>
                <w:sz w:val="18"/>
                <w:szCs w:val="18"/>
                <w:highlight w:val="none"/>
                <w:lang w:val="en-US" w:eastAsia="zh-CN"/>
              </w:rPr>
              <w:t>2平方米以下</w:t>
            </w:r>
          </w:p>
        </w:tc>
        <w:tc>
          <w:tcPr>
            <w:tcW w:w="545" w:type="pct"/>
            <w:gridSpan w:val="2"/>
            <w:shd w:val="clear" w:color="auto" w:fill="auto"/>
            <w:tcMar>
              <w:top w:w="15" w:type="dxa"/>
              <w:left w:w="15" w:type="dxa"/>
              <w:right w:w="15" w:type="dxa"/>
            </w:tcMar>
            <w:vAlign w:val="center"/>
          </w:tcPr>
          <w:p w14:paraId="125B9232">
            <w:pPr>
              <w:widowControl/>
              <w:shd w:val="clea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eastAsia="zh-CN"/>
              </w:rPr>
              <w:t>没收违法所得，</w:t>
            </w:r>
            <w:r>
              <w:rPr>
                <w:rFonts w:hint="default" w:ascii="Times New Roman" w:hAnsi="Times New Roman" w:cs="Times New Roman" w:eastAsiaTheme="minorEastAsia"/>
                <w:color w:val="auto"/>
                <w:kern w:val="0"/>
                <w:sz w:val="18"/>
                <w:szCs w:val="18"/>
                <w:highlight w:val="none"/>
              </w:rPr>
              <w:t>对单位处</w:t>
            </w:r>
            <w:r>
              <w:rPr>
                <w:rFonts w:hint="default" w:ascii="Times New Roman" w:hAnsi="Times New Roman" w:cs="Times New Roman" w:eastAsiaTheme="minorEastAsia"/>
                <w:color w:val="auto"/>
                <w:kern w:val="0"/>
                <w:sz w:val="18"/>
                <w:szCs w:val="18"/>
                <w:highlight w:val="none"/>
                <w:lang w:val="en-US"/>
              </w:rPr>
              <w:t>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18.5万</w:t>
            </w:r>
            <w:r>
              <w:rPr>
                <w:rFonts w:hint="default" w:ascii="Times New Roman" w:hAnsi="Times New Roman" w:cs="Times New Roman" w:eastAsiaTheme="minorEastAsia"/>
                <w:color w:val="auto"/>
                <w:kern w:val="0"/>
                <w:sz w:val="18"/>
                <w:szCs w:val="18"/>
                <w:highlight w:val="none"/>
              </w:rPr>
              <w:t>元以下的罚款，对个人处100元以上</w:t>
            </w:r>
            <w:r>
              <w:rPr>
                <w:rFonts w:hint="default" w:ascii="Times New Roman" w:hAnsi="Times New Roman" w:cs="Times New Roman" w:eastAsiaTheme="minorEastAsia"/>
                <w:color w:val="auto"/>
                <w:kern w:val="0"/>
                <w:sz w:val="18"/>
                <w:szCs w:val="18"/>
                <w:highlight w:val="none"/>
                <w:lang w:val="en-US" w:eastAsia="zh-CN"/>
              </w:rPr>
              <w:t>220</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restart"/>
            <w:shd w:val="clear" w:color="auto" w:fill="auto"/>
            <w:tcMar>
              <w:top w:w="15" w:type="dxa"/>
              <w:left w:w="15" w:type="dxa"/>
              <w:right w:w="15" w:type="dxa"/>
            </w:tcMar>
            <w:vAlign w:val="center"/>
          </w:tcPr>
          <w:p w14:paraId="0A966533">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责令改正</w:t>
            </w:r>
          </w:p>
          <w:p w14:paraId="30026B58">
            <w:pPr>
              <w:widowControl/>
              <w:shd w:val="clear"/>
              <w:jc w:val="center"/>
              <w:textAlignment w:val="center"/>
              <w:rPr>
                <w:rFonts w:hint="default" w:ascii="Times New Roman" w:hAnsi="Times New Roman" w:cs="Times New Roman" w:eastAsiaTheme="minorEastAsia"/>
                <w:color w:val="auto"/>
                <w:kern w:val="0"/>
                <w:sz w:val="18"/>
                <w:szCs w:val="18"/>
                <w:highlight w:val="none"/>
              </w:rPr>
            </w:pPr>
          </w:p>
          <w:p w14:paraId="7AF388BD">
            <w:pPr>
              <w:widowControl/>
              <w:shd w:val="clear"/>
              <w:jc w:val="center"/>
              <w:textAlignment w:val="center"/>
              <w:rPr>
                <w:rFonts w:hint="default" w:ascii="Times New Roman" w:hAnsi="Times New Roman" w:cs="Times New Roman" w:eastAsiaTheme="minorEastAsia"/>
                <w:color w:val="auto"/>
                <w:kern w:val="0"/>
                <w:sz w:val="18"/>
                <w:szCs w:val="18"/>
                <w:highlight w:val="none"/>
              </w:rPr>
            </w:pPr>
          </w:p>
        </w:tc>
        <w:tc>
          <w:tcPr>
            <w:tcW w:w="390" w:type="pct"/>
            <w:gridSpan w:val="3"/>
            <w:vMerge w:val="restart"/>
            <w:shd w:val="clear" w:color="auto" w:fill="auto"/>
            <w:tcMar>
              <w:top w:w="15" w:type="dxa"/>
              <w:left w:w="15" w:type="dxa"/>
              <w:right w:w="15" w:type="dxa"/>
            </w:tcMar>
            <w:vAlign w:val="center"/>
          </w:tcPr>
          <w:p w14:paraId="466D823A">
            <w:pPr>
              <w:shd w:val="clear"/>
              <w:jc w:val="center"/>
              <w:rPr>
                <w:rFonts w:hint="default" w:ascii="Times New Roman" w:hAnsi="Times New Roman" w:cs="Times New Roman" w:eastAsiaTheme="minorEastAsia"/>
                <w:color w:val="auto"/>
                <w:sz w:val="18"/>
                <w:szCs w:val="18"/>
                <w:highlight w:val="none"/>
                <w:lang w:val="en-US" w:eastAsia="zh-CN"/>
              </w:rPr>
            </w:pPr>
          </w:p>
        </w:tc>
      </w:tr>
      <w:tr w14:paraId="40BC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trPr>
        <w:tc>
          <w:tcPr>
            <w:tcW w:w="117" w:type="pct"/>
            <w:gridSpan w:val="2"/>
            <w:vMerge w:val="continue"/>
            <w:shd w:val="clear" w:color="auto" w:fill="auto"/>
            <w:tcMar>
              <w:top w:w="15" w:type="dxa"/>
              <w:left w:w="15" w:type="dxa"/>
              <w:right w:w="15" w:type="dxa"/>
            </w:tcMar>
            <w:vAlign w:val="center"/>
          </w:tcPr>
          <w:p w14:paraId="3715120F">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6B4CAF5E">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5043DC0B">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58B2A069">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219EB6F3">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3EB8521C">
            <w:pPr>
              <w:widowControl/>
              <w:shd w:val="clea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单位：随意倾倒、抛撒、堆放或者焚烧生活垃圾</w:t>
            </w:r>
            <w:r>
              <w:rPr>
                <w:rFonts w:hint="default" w:ascii="Times New Roman" w:hAnsi="Times New Roman" w:cs="Times New Roman" w:eastAsiaTheme="minorEastAsia"/>
                <w:color w:val="auto"/>
                <w:kern w:val="0"/>
                <w:sz w:val="18"/>
                <w:szCs w:val="18"/>
                <w:highlight w:val="none"/>
                <w:lang w:val="en-US" w:eastAsia="zh-CN"/>
              </w:rPr>
              <w:t>10立方米以上30立方米以下或者20平方米以上60平方米以下</w:t>
            </w:r>
            <w:r>
              <w:rPr>
                <w:rFonts w:hint="default" w:ascii="Times New Roman" w:hAnsi="Times New Roman" w:cs="Times New Roman" w:eastAsiaTheme="minorEastAsia"/>
                <w:color w:val="auto"/>
                <w:kern w:val="0"/>
                <w:sz w:val="18"/>
                <w:szCs w:val="18"/>
                <w:highlight w:val="none"/>
              </w:rPr>
              <w:t>；</w:t>
            </w:r>
          </w:p>
          <w:p w14:paraId="7861589E">
            <w:pPr>
              <w:widowControl/>
              <w:shd w:val="clea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个人：随意倾倒、抛撒、堆放或者焚烧生活垃圾</w:t>
            </w:r>
            <w:r>
              <w:rPr>
                <w:rFonts w:hint="default" w:ascii="Times New Roman" w:hAnsi="Times New Roman" w:cs="Times New Roman" w:eastAsiaTheme="minorEastAsia"/>
                <w:color w:val="auto"/>
                <w:kern w:val="0"/>
                <w:sz w:val="18"/>
                <w:szCs w:val="18"/>
                <w:highlight w:val="none"/>
                <w:lang w:val="en-US" w:eastAsia="zh-CN"/>
              </w:rPr>
              <w:t>1立方米以上3</w:t>
            </w:r>
            <w:r>
              <w:rPr>
                <w:rFonts w:hint="default" w:ascii="Times New Roman" w:hAnsi="Times New Roman" w:cs="Times New Roman" w:eastAsiaTheme="minorEastAsia"/>
                <w:color w:val="auto"/>
                <w:kern w:val="0"/>
                <w:sz w:val="18"/>
                <w:szCs w:val="18"/>
                <w:highlight w:val="none"/>
              </w:rPr>
              <w:t>立方米</w:t>
            </w:r>
            <w:r>
              <w:rPr>
                <w:rFonts w:hint="default" w:ascii="Times New Roman" w:hAnsi="Times New Roman" w:cs="Times New Roman" w:eastAsiaTheme="minorEastAsia"/>
                <w:color w:val="auto"/>
                <w:kern w:val="0"/>
                <w:sz w:val="18"/>
                <w:szCs w:val="18"/>
                <w:highlight w:val="none"/>
                <w:lang w:eastAsia="zh-CN"/>
              </w:rPr>
              <w:t>以下或者</w:t>
            </w:r>
            <w:r>
              <w:rPr>
                <w:rFonts w:hint="default" w:ascii="Times New Roman" w:hAnsi="Times New Roman" w:cs="Times New Roman" w:eastAsiaTheme="minorEastAsia"/>
                <w:color w:val="auto"/>
                <w:kern w:val="0"/>
                <w:sz w:val="18"/>
                <w:szCs w:val="18"/>
                <w:highlight w:val="none"/>
                <w:lang w:val="en-US" w:eastAsia="zh-CN"/>
              </w:rPr>
              <w:t>2平方米以上6平方米以下</w:t>
            </w:r>
          </w:p>
        </w:tc>
        <w:tc>
          <w:tcPr>
            <w:tcW w:w="545" w:type="pct"/>
            <w:gridSpan w:val="2"/>
            <w:shd w:val="clear" w:color="auto" w:fill="auto"/>
            <w:tcMar>
              <w:top w:w="15" w:type="dxa"/>
              <w:left w:w="15" w:type="dxa"/>
              <w:right w:w="15" w:type="dxa"/>
            </w:tcMar>
            <w:vAlign w:val="center"/>
          </w:tcPr>
          <w:p w14:paraId="6FA75B0C">
            <w:pPr>
              <w:widowControl/>
              <w:shd w:val="clea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eastAsia="zh-CN"/>
              </w:rPr>
              <w:t>没收违法所得，</w:t>
            </w:r>
            <w:r>
              <w:rPr>
                <w:rFonts w:hint="default" w:ascii="Times New Roman" w:hAnsi="Times New Roman" w:cs="Times New Roman" w:eastAsiaTheme="minorEastAsia"/>
                <w:color w:val="auto"/>
                <w:kern w:val="0"/>
                <w:sz w:val="18"/>
                <w:szCs w:val="18"/>
                <w:highlight w:val="none"/>
              </w:rPr>
              <w:t>对单位处</w:t>
            </w:r>
            <w:r>
              <w:rPr>
                <w:rFonts w:hint="default" w:ascii="Times New Roman" w:hAnsi="Times New Roman" w:cs="Times New Roman" w:eastAsiaTheme="minorEastAsia"/>
                <w:color w:val="auto"/>
                <w:kern w:val="0"/>
                <w:sz w:val="18"/>
                <w:szCs w:val="18"/>
                <w:highlight w:val="none"/>
                <w:lang w:val="en-US" w:eastAsia="zh-CN"/>
              </w:rPr>
              <w:t>18.5万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36.5万</w:t>
            </w:r>
            <w:r>
              <w:rPr>
                <w:rFonts w:hint="default" w:ascii="Times New Roman" w:hAnsi="Times New Roman" w:cs="Times New Roman" w:eastAsiaTheme="minorEastAsia"/>
                <w:color w:val="auto"/>
                <w:kern w:val="0"/>
                <w:sz w:val="18"/>
                <w:szCs w:val="18"/>
                <w:highlight w:val="none"/>
              </w:rPr>
              <w:t>元以下的罚款，对个人处</w:t>
            </w:r>
            <w:r>
              <w:rPr>
                <w:rFonts w:hint="default" w:ascii="Times New Roman" w:hAnsi="Times New Roman" w:cs="Times New Roman" w:eastAsiaTheme="minorEastAsia"/>
                <w:color w:val="auto"/>
                <w:kern w:val="0"/>
                <w:sz w:val="18"/>
                <w:szCs w:val="18"/>
                <w:highlight w:val="none"/>
                <w:lang w:eastAsia="zh-CN"/>
              </w:rPr>
              <w:t>2</w:t>
            </w:r>
            <w:r>
              <w:rPr>
                <w:rFonts w:hint="default" w:ascii="Times New Roman" w:hAnsi="Times New Roman" w:cs="Times New Roman" w:eastAsiaTheme="minorEastAsia"/>
                <w:color w:val="auto"/>
                <w:kern w:val="0"/>
                <w:sz w:val="18"/>
                <w:szCs w:val="18"/>
                <w:highlight w:val="none"/>
                <w:lang w:val="en-US" w:eastAsia="zh-CN"/>
              </w:rPr>
              <w:t>20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380</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4DBD914E">
            <w:pPr>
              <w:widowControl/>
              <w:shd w:val="clear"/>
              <w:jc w:val="center"/>
              <w:textAlignment w:val="center"/>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36D7CB5C">
            <w:pPr>
              <w:shd w:val="clear"/>
              <w:jc w:val="center"/>
              <w:rPr>
                <w:rFonts w:hint="default" w:ascii="Times New Roman" w:hAnsi="Times New Roman" w:cs="Times New Roman" w:eastAsiaTheme="minorEastAsia"/>
                <w:color w:val="auto"/>
                <w:sz w:val="18"/>
                <w:szCs w:val="18"/>
                <w:highlight w:val="none"/>
              </w:rPr>
            </w:pPr>
          </w:p>
        </w:tc>
      </w:tr>
      <w:tr w14:paraId="37C8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7" w:hRule="atLeast"/>
        </w:trPr>
        <w:tc>
          <w:tcPr>
            <w:tcW w:w="117" w:type="pct"/>
            <w:gridSpan w:val="2"/>
            <w:vMerge w:val="continue"/>
            <w:shd w:val="clear" w:color="auto" w:fill="auto"/>
            <w:tcMar>
              <w:top w:w="15" w:type="dxa"/>
              <w:left w:w="15" w:type="dxa"/>
              <w:right w:w="15" w:type="dxa"/>
            </w:tcMar>
            <w:vAlign w:val="center"/>
          </w:tcPr>
          <w:p w14:paraId="461CA349">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5B900845">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6F6E7C08">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42F82BC5">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275CA3DA">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3A6C6D98">
            <w:pPr>
              <w:widowControl/>
              <w:shd w:val="clea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单位：随意倾倒、抛撒、堆放或者焚烧生活垃圾</w:t>
            </w:r>
            <w:r>
              <w:rPr>
                <w:rFonts w:hint="default" w:ascii="Times New Roman" w:hAnsi="Times New Roman" w:cs="Times New Roman" w:eastAsiaTheme="minorEastAsia"/>
                <w:color w:val="auto"/>
                <w:kern w:val="0"/>
                <w:sz w:val="18"/>
                <w:szCs w:val="18"/>
                <w:highlight w:val="none"/>
                <w:lang w:val="en-US" w:eastAsia="zh-CN"/>
              </w:rPr>
              <w:t>30立方米以上或者60平方米以上</w:t>
            </w:r>
            <w:r>
              <w:rPr>
                <w:rFonts w:hint="default" w:ascii="Times New Roman" w:hAnsi="Times New Roman" w:cs="Times New Roman" w:eastAsiaTheme="minorEastAsia"/>
                <w:color w:val="auto"/>
                <w:kern w:val="0"/>
                <w:sz w:val="18"/>
                <w:szCs w:val="18"/>
                <w:highlight w:val="none"/>
              </w:rPr>
              <w:t>；</w:t>
            </w:r>
          </w:p>
          <w:p w14:paraId="7FF1FB69">
            <w:pPr>
              <w:widowControl/>
              <w:shd w:val="clea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个人：随意倾倒、抛撒、堆放或者焚烧生活垃圾</w:t>
            </w:r>
            <w:r>
              <w:rPr>
                <w:rFonts w:hint="default" w:ascii="Times New Roman" w:hAnsi="Times New Roman" w:cs="Times New Roman" w:eastAsiaTheme="minorEastAsia"/>
                <w:color w:val="auto"/>
                <w:kern w:val="0"/>
                <w:sz w:val="18"/>
                <w:szCs w:val="18"/>
                <w:highlight w:val="none"/>
                <w:lang w:val="en-US" w:eastAsia="zh-CN"/>
              </w:rPr>
              <w:t>3立方米以上或者6平方米以上</w:t>
            </w:r>
          </w:p>
        </w:tc>
        <w:tc>
          <w:tcPr>
            <w:tcW w:w="545" w:type="pct"/>
            <w:gridSpan w:val="2"/>
            <w:shd w:val="clear" w:color="auto" w:fill="auto"/>
            <w:tcMar>
              <w:top w:w="15" w:type="dxa"/>
              <w:left w:w="15" w:type="dxa"/>
              <w:right w:w="15" w:type="dxa"/>
            </w:tcMar>
            <w:vAlign w:val="center"/>
          </w:tcPr>
          <w:p w14:paraId="1703A0C6">
            <w:pPr>
              <w:widowControl/>
              <w:shd w:val="clea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eastAsia="zh-CN"/>
              </w:rPr>
              <w:t>没收违法所得，</w:t>
            </w:r>
            <w:r>
              <w:rPr>
                <w:rFonts w:hint="default" w:ascii="Times New Roman" w:hAnsi="Times New Roman" w:cs="Times New Roman" w:eastAsiaTheme="minorEastAsia"/>
                <w:color w:val="auto"/>
                <w:kern w:val="0"/>
                <w:sz w:val="18"/>
                <w:szCs w:val="18"/>
                <w:highlight w:val="none"/>
              </w:rPr>
              <w:t>对单位处</w:t>
            </w:r>
            <w:r>
              <w:rPr>
                <w:rFonts w:hint="default" w:ascii="Times New Roman" w:hAnsi="Times New Roman" w:cs="Times New Roman" w:eastAsiaTheme="minorEastAsia"/>
                <w:color w:val="auto"/>
                <w:kern w:val="0"/>
                <w:sz w:val="18"/>
                <w:szCs w:val="18"/>
                <w:highlight w:val="none"/>
                <w:lang w:val="en-US" w:eastAsia="zh-CN"/>
              </w:rPr>
              <w:t>36.5万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50万</w:t>
            </w:r>
            <w:r>
              <w:rPr>
                <w:rFonts w:hint="default" w:ascii="Times New Roman" w:hAnsi="Times New Roman" w:cs="Times New Roman" w:eastAsiaTheme="minorEastAsia"/>
                <w:color w:val="auto"/>
                <w:kern w:val="0"/>
                <w:sz w:val="18"/>
                <w:szCs w:val="18"/>
                <w:highlight w:val="none"/>
              </w:rPr>
              <w:t>元以下的罚款，对个人处</w:t>
            </w:r>
            <w:r>
              <w:rPr>
                <w:rFonts w:hint="default" w:ascii="Times New Roman" w:hAnsi="Times New Roman" w:cs="Times New Roman" w:eastAsiaTheme="minorEastAsia"/>
                <w:color w:val="auto"/>
                <w:kern w:val="0"/>
                <w:sz w:val="18"/>
                <w:szCs w:val="18"/>
                <w:highlight w:val="none"/>
                <w:lang w:eastAsia="zh-CN"/>
              </w:rPr>
              <w:t>3</w:t>
            </w:r>
            <w:r>
              <w:rPr>
                <w:rFonts w:hint="default" w:ascii="Times New Roman" w:hAnsi="Times New Roman" w:cs="Times New Roman" w:eastAsiaTheme="minorEastAsia"/>
                <w:color w:val="auto"/>
                <w:kern w:val="0"/>
                <w:sz w:val="18"/>
                <w:szCs w:val="18"/>
                <w:highlight w:val="none"/>
                <w:lang w:val="en-US" w:eastAsia="zh-CN"/>
              </w:rPr>
              <w:t>80</w:t>
            </w:r>
            <w:r>
              <w:rPr>
                <w:rFonts w:hint="default" w:ascii="Times New Roman" w:hAnsi="Times New Roman" w:cs="Times New Roman" w:eastAsiaTheme="minorEastAsia"/>
                <w:color w:val="auto"/>
                <w:kern w:val="0"/>
                <w:sz w:val="18"/>
                <w:szCs w:val="18"/>
                <w:highlight w:val="none"/>
              </w:rPr>
              <w:t>元以上500元以下的罚款</w:t>
            </w:r>
          </w:p>
        </w:tc>
        <w:tc>
          <w:tcPr>
            <w:tcW w:w="200" w:type="pct"/>
            <w:gridSpan w:val="2"/>
            <w:vMerge w:val="continue"/>
            <w:shd w:val="clear" w:color="auto" w:fill="auto"/>
            <w:tcMar>
              <w:top w:w="15" w:type="dxa"/>
              <w:left w:w="15" w:type="dxa"/>
              <w:right w:w="15" w:type="dxa"/>
            </w:tcMar>
            <w:vAlign w:val="center"/>
          </w:tcPr>
          <w:p w14:paraId="0CFBD5F4">
            <w:pPr>
              <w:widowControl/>
              <w:shd w:val="clear"/>
              <w:jc w:val="center"/>
              <w:textAlignment w:val="center"/>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77BD3DEA">
            <w:pPr>
              <w:shd w:val="clear"/>
              <w:jc w:val="center"/>
              <w:rPr>
                <w:rFonts w:hint="default" w:ascii="Times New Roman" w:hAnsi="Times New Roman" w:cs="Times New Roman" w:eastAsiaTheme="minorEastAsia"/>
                <w:color w:val="auto"/>
                <w:sz w:val="18"/>
                <w:szCs w:val="18"/>
                <w:highlight w:val="none"/>
              </w:rPr>
            </w:pPr>
          </w:p>
        </w:tc>
      </w:tr>
      <w:tr w14:paraId="3ECC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0" w:hRule="atLeast"/>
        </w:trPr>
        <w:tc>
          <w:tcPr>
            <w:tcW w:w="117" w:type="pct"/>
            <w:gridSpan w:val="2"/>
            <w:vMerge w:val="restart"/>
            <w:shd w:val="clear" w:color="auto" w:fill="auto"/>
            <w:tcMar>
              <w:top w:w="15" w:type="dxa"/>
              <w:left w:w="15" w:type="dxa"/>
              <w:right w:w="15" w:type="dxa"/>
            </w:tcMar>
            <w:vAlign w:val="center"/>
          </w:tcPr>
          <w:p w14:paraId="29B2A3D0">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9</w:t>
            </w:r>
          </w:p>
        </w:tc>
        <w:tc>
          <w:tcPr>
            <w:tcW w:w="411" w:type="pct"/>
            <w:gridSpan w:val="2"/>
            <w:vMerge w:val="restart"/>
            <w:shd w:val="clear" w:color="auto" w:fill="auto"/>
            <w:tcMar>
              <w:top w:w="15" w:type="dxa"/>
              <w:left w:w="15" w:type="dxa"/>
              <w:right w:w="15" w:type="dxa"/>
            </w:tcMar>
            <w:vAlign w:val="center"/>
          </w:tcPr>
          <w:p w14:paraId="60168BF1">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sz w:val="18"/>
                <w:szCs w:val="18"/>
                <w:highlight w:val="none"/>
              </w:rPr>
              <w:t>产生、收集厨余垃圾的单位和其他生产经营者未将厨余垃圾交由具备相应资质条件的单位进行无害化处理</w:t>
            </w:r>
            <w:r>
              <w:rPr>
                <w:rFonts w:hint="default" w:ascii="Times New Roman" w:hAnsi="Times New Roman" w:cs="Times New Roman" w:eastAsiaTheme="minorEastAsia"/>
                <w:color w:val="auto"/>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1CA6EAA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《中华人民共和国固体废物污染环境防治法》第五十七条第二款：“产生、收集厨余垃圾的单位和其他生产经营者，应当将厨余垃圾交由具备相应资质条件的单位进行无害化处理。”</w:t>
            </w:r>
          </w:p>
        </w:tc>
        <w:tc>
          <w:tcPr>
            <w:tcW w:w="1314" w:type="pct"/>
            <w:gridSpan w:val="2"/>
            <w:vMerge w:val="restart"/>
            <w:shd w:val="clear" w:color="auto" w:fill="auto"/>
            <w:tcMar>
              <w:top w:w="15" w:type="dxa"/>
              <w:left w:w="15" w:type="dxa"/>
              <w:right w:w="15" w:type="dxa"/>
            </w:tcMar>
            <w:vAlign w:val="center"/>
          </w:tcPr>
          <w:p w14:paraId="390D89F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中华人民共和国固体废物污染环境防治法》第一百一十一条：“违反本法规定，有下列行为之一，由县级以上地方人民政府环境卫生主管部门责令改正，处以罚款，没收违法所得：（五）产生、收集厨余垃圾的单位和其他生产经营者未将厨余垃圾交由具备相应资质条件的单位进行无害化处理的；”“......单位有前款第二项、第三项、第四项、第五项、第六项行为之一，处十万元以上一百万元以下的罚款；个人有前款第一项、第五项、第七项行为之一，处一百元以上五百元以下的罚款。”</w:t>
            </w:r>
          </w:p>
        </w:tc>
        <w:tc>
          <w:tcPr>
            <w:tcW w:w="177" w:type="pct"/>
            <w:gridSpan w:val="2"/>
            <w:shd w:val="clear" w:color="auto" w:fill="auto"/>
            <w:tcMar>
              <w:top w:w="15" w:type="dxa"/>
              <w:left w:w="15" w:type="dxa"/>
              <w:right w:w="15" w:type="dxa"/>
            </w:tcMar>
            <w:vAlign w:val="center"/>
          </w:tcPr>
          <w:p w14:paraId="66821268">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32B55CDB">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单位：</w:t>
            </w:r>
            <w:r>
              <w:rPr>
                <w:rFonts w:hint="default" w:ascii="Times New Roman" w:hAnsi="Times New Roman" w:cs="Times New Roman" w:eastAsiaTheme="minorEastAsia"/>
                <w:color w:val="auto"/>
                <w:kern w:val="0"/>
                <w:sz w:val="18"/>
                <w:szCs w:val="18"/>
                <w:highlight w:val="none"/>
                <w:lang w:eastAsia="zh-CN"/>
              </w:rPr>
              <w:t>未交由具备相应资质条件的单位进行无害化处理</w:t>
            </w:r>
            <w:r>
              <w:rPr>
                <w:rFonts w:hint="default" w:ascii="Times New Roman" w:hAnsi="Times New Roman" w:cs="Times New Roman" w:eastAsiaTheme="minorEastAsia"/>
                <w:color w:val="auto"/>
                <w:kern w:val="0"/>
                <w:sz w:val="18"/>
                <w:szCs w:val="18"/>
                <w:highlight w:val="none"/>
              </w:rPr>
              <w:t>的厨余垃圾体积1立方米</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rPr>
              <w:t>；</w:t>
            </w:r>
            <w:r>
              <w:rPr>
                <w:rFonts w:hint="default" w:ascii="Times New Roman" w:hAnsi="Times New Roman" w:cs="Times New Roman" w:eastAsiaTheme="minorEastAsia"/>
                <w:color w:val="auto"/>
                <w:kern w:val="0"/>
                <w:sz w:val="18"/>
                <w:szCs w:val="18"/>
                <w:highlight w:val="none"/>
              </w:rPr>
              <w:br w:type="textWrapping"/>
            </w:r>
            <w:r>
              <w:rPr>
                <w:rFonts w:hint="default" w:ascii="Times New Roman" w:hAnsi="Times New Roman" w:cs="Times New Roman" w:eastAsiaTheme="minorEastAsia"/>
                <w:color w:val="auto"/>
                <w:kern w:val="0"/>
                <w:sz w:val="18"/>
                <w:szCs w:val="18"/>
                <w:highlight w:val="none"/>
              </w:rPr>
              <w:t>个人：未交由具备相应资质条件的单位进行无害化处理的厨余垃圾</w:t>
            </w:r>
            <w:r>
              <w:rPr>
                <w:rFonts w:hint="default" w:ascii="Times New Roman" w:hAnsi="Times New Roman" w:cs="Times New Roman" w:eastAsiaTheme="minorEastAsia"/>
                <w:color w:val="auto"/>
                <w:kern w:val="0"/>
                <w:sz w:val="18"/>
                <w:szCs w:val="18"/>
                <w:highlight w:val="none"/>
                <w:lang w:val="en-US" w:eastAsia="zh-CN"/>
              </w:rPr>
              <w:t>120</w:t>
            </w:r>
            <w:r>
              <w:rPr>
                <w:rFonts w:hint="default" w:ascii="Times New Roman" w:hAnsi="Times New Roman" w:cs="Times New Roman" w:eastAsiaTheme="minorEastAsia"/>
                <w:color w:val="auto"/>
                <w:kern w:val="0"/>
                <w:sz w:val="18"/>
                <w:szCs w:val="18"/>
                <w:highlight w:val="none"/>
              </w:rPr>
              <w:t>升</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lang w:val="en-US" w:eastAsia="zh-CN"/>
              </w:rPr>
              <w:t>公斤</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rPr>
              <w:t>；</w:t>
            </w:r>
          </w:p>
        </w:tc>
        <w:tc>
          <w:tcPr>
            <w:tcW w:w="545" w:type="pct"/>
            <w:gridSpan w:val="2"/>
            <w:shd w:val="clear" w:color="auto" w:fill="auto"/>
            <w:tcMar>
              <w:top w:w="15" w:type="dxa"/>
              <w:left w:w="15" w:type="dxa"/>
              <w:right w:w="15" w:type="dxa"/>
            </w:tcMar>
            <w:vAlign w:val="center"/>
          </w:tcPr>
          <w:p w14:paraId="739B3BEF">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没收违法所得，</w:t>
            </w:r>
            <w:r>
              <w:rPr>
                <w:rFonts w:hint="default" w:ascii="Times New Roman" w:hAnsi="Times New Roman" w:cs="Times New Roman" w:eastAsiaTheme="minorEastAsia"/>
                <w:color w:val="auto"/>
                <w:kern w:val="0"/>
                <w:sz w:val="18"/>
                <w:szCs w:val="18"/>
                <w:highlight w:val="none"/>
              </w:rPr>
              <w:t>对单位处</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37万</w:t>
            </w:r>
            <w:r>
              <w:rPr>
                <w:rFonts w:hint="default" w:ascii="Times New Roman" w:hAnsi="Times New Roman" w:cs="Times New Roman" w:eastAsiaTheme="minorEastAsia"/>
                <w:color w:val="auto"/>
                <w:kern w:val="0"/>
                <w:sz w:val="18"/>
                <w:szCs w:val="18"/>
                <w:highlight w:val="none"/>
              </w:rPr>
              <w:t>元以下的罚款，对个人处100元以上</w:t>
            </w:r>
            <w:r>
              <w:rPr>
                <w:rFonts w:hint="default" w:ascii="Times New Roman" w:hAnsi="Times New Roman" w:cs="Times New Roman" w:eastAsiaTheme="minorEastAsia"/>
                <w:color w:val="auto"/>
                <w:kern w:val="0"/>
                <w:sz w:val="18"/>
                <w:szCs w:val="18"/>
                <w:highlight w:val="none"/>
                <w:lang w:eastAsia="zh-CN"/>
              </w:rPr>
              <w:t>2</w:t>
            </w:r>
            <w:r>
              <w:rPr>
                <w:rFonts w:hint="default" w:ascii="Times New Roman" w:hAnsi="Times New Roman" w:cs="Times New Roman" w:eastAsiaTheme="minorEastAsia"/>
                <w:color w:val="auto"/>
                <w:kern w:val="0"/>
                <w:sz w:val="18"/>
                <w:szCs w:val="18"/>
                <w:highlight w:val="none"/>
                <w:lang w:val="en-US" w:eastAsia="zh-CN"/>
              </w:rPr>
              <w:t>20</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restart"/>
            <w:shd w:val="clear" w:color="auto" w:fill="auto"/>
            <w:tcMar>
              <w:top w:w="15" w:type="dxa"/>
              <w:left w:w="15" w:type="dxa"/>
              <w:right w:w="15" w:type="dxa"/>
            </w:tcMar>
            <w:vAlign w:val="center"/>
          </w:tcPr>
          <w:p w14:paraId="739F4A74">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责令改正</w:t>
            </w:r>
          </w:p>
          <w:p w14:paraId="38ED1E62">
            <w:pPr>
              <w:widowControl/>
              <w:shd w:val="clear"/>
              <w:jc w:val="center"/>
              <w:textAlignment w:val="center"/>
              <w:rPr>
                <w:rFonts w:hint="default" w:ascii="Times New Roman" w:hAnsi="Times New Roman" w:cs="Times New Roman" w:eastAsiaTheme="minorEastAsia"/>
                <w:color w:val="auto"/>
                <w:sz w:val="18"/>
                <w:szCs w:val="18"/>
                <w:highlight w:val="none"/>
              </w:rPr>
            </w:pPr>
          </w:p>
          <w:p w14:paraId="6BD5A947">
            <w:pPr>
              <w:widowControl/>
              <w:shd w:val="clear"/>
              <w:jc w:val="center"/>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74781205">
            <w:pPr>
              <w:shd w:val="clear"/>
              <w:jc w:val="center"/>
              <w:rPr>
                <w:rFonts w:hint="default" w:ascii="Times New Roman" w:hAnsi="Times New Roman" w:cs="Times New Roman" w:eastAsiaTheme="minorEastAsia"/>
                <w:color w:val="auto"/>
                <w:sz w:val="18"/>
                <w:szCs w:val="18"/>
                <w:highlight w:val="none"/>
                <w:lang w:val="en-US" w:eastAsia="zh-CN"/>
              </w:rPr>
            </w:pPr>
          </w:p>
        </w:tc>
      </w:tr>
      <w:tr w14:paraId="30A6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17" w:type="pct"/>
            <w:gridSpan w:val="2"/>
            <w:vMerge w:val="continue"/>
            <w:shd w:val="clear" w:color="auto" w:fill="auto"/>
            <w:tcMar>
              <w:top w:w="15" w:type="dxa"/>
              <w:left w:w="15" w:type="dxa"/>
              <w:right w:w="15" w:type="dxa"/>
            </w:tcMar>
            <w:vAlign w:val="center"/>
          </w:tcPr>
          <w:p w14:paraId="7360B74E">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5AC4263A">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4E0CA130">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36C17EFC">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49587A58">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7251E40A">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单位：未交由具备相应资质条件的单位进行无害化处理的厨余垃圾1立方米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3立方米</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rPr>
              <w:t>；</w:t>
            </w:r>
            <w:r>
              <w:rPr>
                <w:rFonts w:hint="default" w:ascii="Times New Roman" w:hAnsi="Times New Roman" w:cs="Times New Roman" w:eastAsiaTheme="minorEastAsia"/>
                <w:color w:val="auto"/>
                <w:kern w:val="0"/>
                <w:sz w:val="18"/>
                <w:szCs w:val="18"/>
                <w:highlight w:val="none"/>
              </w:rPr>
              <w:br w:type="textWrapping"/>
            </w:r>
            <w:r>
              <w:rPr>
                <w:rFonts w:hint="default" w:ascii="Times New Roman" w:hAnsi="Times New Roman" w:cs="Times New Roman" w:eastAsiaTheme="minorEastAsia"/>
                <w:color w:val="auto"/>
                <w:kern w:val="0"/>
                <w:sz w:val="18"/>
                <w:szCs w:val="18"/>
                <w:highlight w:val="none"/>
              </w:rPr>
              <w:t>个人：未交由具备相应资质条件的单位进行无害化处理的厨余垃圾</w:t>
            </w:r>
            <w:r>
              <w:rPr>
                <w:rFonts w:hint="default" w:ascii="Times New Roman" w:hAnsi="Times New Roman" w:cs="Times New Roman" w:eastAsiaTheme="minorEastAsia"/>
                <w:color w:val="auto"/>
                <w:kern w:val="0"/>
                <w:sz w:val="18"/>
                <w:szCs w:val="18"/>
                <w:highlight w:val="none"/>
                <w:lang w:val="en-US" w:eastAsia="zh-CN"/>
              </w:rPr>
              <w:t>120</w:t>
            </w:r>
            <w:r>
              <w:rPr>
                <w:rFonts w:hint="default" w:ascii="Times New Roman" w:hAnsi="Times New Roman" w:cs="Times New Roman" w:eastAsiaTheme="minorEastAsia"/>
                <w:color w:val="auto"/>
                <w:kern w:val="0"/>
                <w:sz w:val="18"/>
                <w:szCs w:val="18"/>
                <w:highlight w:val="none"/>
              </w:rPr>
              <w:t>升</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lang w:val="en-US" w:eastAsia="zh-CN"/>
              </w:rPr>
              <w:t>公斤</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lang w:val="en-US" w:eastAsia="zh-CN"/>
              </w:rPr>
              <w:t>360升（公斤）以下</w:t>
            </w:r>
            <w:r>
              <w:rPr>
                <w:rFonts w:hint="default" w:ascii="Times New Roman" w:hAnsi="Times New Roman" w:cs="Times New Roman" w:eastAsiaTheme="minorEastAsia"/>
                <w:color w:val="auto"/>
                <w:kern w:val="0"/>
                <w:sz w:val="18"/>
                <w:szCs w:val="18"/>
                <w:highlight w:val="none"/>
              </w:rPr>
              <w:t>；</w:t>
            </w:r>
          </w:p>
        </w:tc>
        <w:tc>
          <w:tcPr>
            <w:tcW w:w="545" w:type="pct"/>
            <w:gridSpan w:val="2"/>
            <w:shd w:val="clear" w:color="auto" w:fill="auto"/>
            <w:tcMar>
              <w:top w:w="15" w:type="dxa"/>
              <w:left w:w="15" w:type="dxa"/>
              <w:right w:w="15" w:type="dxa"/>
            </w:tcMar>
            <w:vAlign w:val="center"/>
          </w:tcPr>
          <w:p w14:paraId="2293280B">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没收违法所得，</w:t>
            </w:r>
            <w:r>
              <w:rPr>
                <w:rFonts w:hint="default" w:ascii="Times New Roman" w:hAnsi="Times New Roman" w:cs="Times New Roman" w:eastAsiaTheme="minorEastAsia"/>
                <w:color w:val="auto"/>
                <w:kern w:val="0"/>
                <w:sz w:val="18"/>
                <w:szCs w:val="18"/>
                <w:highlight w:val="none"/>
              </w:rPr>
              <w:t>对单位处</w:t>
            </w:r>
            <w:r>
              <w:rPr>
                <w:rFonts w:hint="default" w:ascii="Times New Roman" w:hAnsi="Times New Roman" w:cs="Times New Roman" w:eastAsiaTheme="minorEastAsia"/>
                <w:color w:val="auto"/>
                <w:kern w:val="0"/>
                <w:sz w:val="18"/>
                <w:szCs w:val="18"/>
                <w:highlight w:val="none"/>
                <w:lang w:val="en-US" w:eastAsia="zh-CN"/>
              </w:rPr>
              <w:t>37万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73万</w:t>
            </w:r>
            <w:r>
              <w:rPr>
                <w:rFonts w:hint="default" w:ascii="Times New Roman" w:hAnsi="Times New Roman" w:cs="Times New Roman" w:eastAsiaTheme="minorEastAsia"/>
                <w:color w:val="auto"/>
                <w:kern w:val="0"/>
                <w:sz w:val="18"/>
                <w:szCs w:val="18"/>
                <w:highlight w:val="none"/>
              </w:rPr>
              <w:t>元以下的罚款，对个人处</w:t>
            </w:r>
            <w:r>
              <w:rPr>
                <w:rFonts w:hint="default" w:ascii="Times New Roman" w:hAnsi="Times New Roman" w:cs="Times New Roman" w:eastAsiaTheme="minorEastAsia"/>
                <w:color w:val="auto"/>
                <w:kern w:val="0"/>
                <w:sz w:val="18"/>
                <w:szCs w:val="18"/>
                <w:highlight w:val="none"/>
                <w:lang w:eastAsia="zh-CN"/>
              </w:rPr>
              <w:t>2</w:t>
            </w:r>
            <w:r>
              <w:rPr>
                <w:rFonts w:hint="default" w:ascii="Times New Roman" w:hAnsi="Times New Roman" w:cs="Times New Roman" w:eastAsiaTheme="minorEastAsia"/>
                <w:color w:val="auto"/>
                <w:kern w:val="0"/>
                <w:sz w:val="18"/>
                <w:szCs w:val="18"/>
                <w:highlight w:val="none"/>
                <w:lang w:val="en-US" w:eastAsia="zh-CN"/>
              </w:rPr>
              <w:t>20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eastAsia="zh-CN"/>
              </w:rPr>
              <w:t>3</w:t>
            </w:r>
            <w:r>
              <w:rPr>
                <w:rFonts w:hint="default" w:ascii="Times New Roman" w:hAnsi="Times New Roman" w:cs="Times New Roman" w:eastAsiaTheme="minorEastAsia"/>
                <w:color w:val="auto"/>
                <w:kern w:val="0"/>
                <w:sz w:val="18"/>
                <w:szCs w:val="18"/>
                <w:highlight w:val="none"/>
                <w:lang w:val="en-US" w:eastAsia="zh-CN"/>
              </w:rPr>
              <w:t>80</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7E235D60">
            <w:pPr>
              <w:widowControl/>
              <w:shd w:val="clear"/>
              <w:jc w:val="center"/>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5B69B249">
            <w:pPr>
              <w:shd w:val="clear"/>
              <w:jc w:val="center"/>
              <w:rPr>
                <w:rFonts w:hint="default" w:ascii="Times New Roman" w:hAnsi="Times New Roman" w:cs="Times New Roman" w:eastAsiaTheme="minorEastAsia"/>
                <w:color w:val="auto"/>
                <w:sz w:val="18"/>
                <w:szCs w:val="18"/>
                <w:highlight w:val="none"/>
              </w:rPr>
            </w:pPr>
          </w:p>
        </w:tc>
      </w:tr>
      <w:tr w14:paraId="6F1B4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7" w:hRule="atLeast"/>
        </w:trPr>
        <w:tc>
          <w:tcPr>
            <w:tcW w:w="117" w:type="pct"/>
            <w:gridSpan w:val="2"/>
            <w:vMerge w:val="continue"/>
            <w:shd w:val="clear" w:color="auto" w:fill="auto"/>
            <w:tcMar>
              <w:top w:w="15" w:type="dxa"/>
              <w:left w:w="15" w:type="dxa"/>
              <w:right w:w="15" w:type="dxa"/>
            </w:tcMar>
            <w:vAlign w:val="center"/>
          </w:tcPr>
          <w:p w14:paraId="099CD3D9">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764D33F5">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0A0A91FE">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710C96E8">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7F08A1D6">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6AA34B11">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单位未交由具备相应资质条件的单位进行无害化处理的厨余垃圾3立方米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w:t>
            </w:r>
            <w:r>
              <w:rPr>
                <w:rFonts w:hint="default" w:ascii="Times New Roman" w:hAnsi="Times New Roman" w:cs="Times New Roman" w:eastAsiaTheme="minorEastAsia"/>
                <w:color w:val="auto"/>
                <w:kern w:val="0"/>
                <w:sz w:val="18"/>
                <w:szCs w:val="18"/>
                <w:highlight w:val="none"/>
              </w:rPr>
              <w:br w:type="textWrapping"/>
            </w:r>
            <w:r>
              <w:rPr>
                <w:rFonts w:hint="default" w:ascii="Times New Roman" w:hAnsi="Times New Roman" w:cs="Times New Roman" w:eastAsiaTheme="minorEastAsia"/>
                <w:color w:val="auto"/>
                <w:kern w:val="0"/>
                <w:sz w:val="18"/>
                <w:szCs w:val="18"/>
                <w:highlight w:val="none"/>
              </w:rPr>
              <w:t>个人：未交由具备相应资质条件的单位进行无害化处理的厨余垃圾</w:t>
            </w:r>
            <w:r>
              <w:rPr>
                <w:rFonts w:hint="default" w:ascii="Times New Roman" w:hAnsi="Times New Roman" w:cs="Times New Roman" w:eastAsiaTheme="minorEastAsia"/>
                <w:color w:val="auto"/>
                <w:kern w:val="0"/>
                <w:sz w:val="18"/>
                <w:szCs w:val="18"/>
                <w:highlight w:val="none"/>
                <w:lang w:val="en-US" w:eastAsia="zh-CN"/>
              </w:rPr>
              <w:t>360升（公斤）以上</w:t>
            </w:r>
          </w:p>
        </w:tc>
        <w:tc>
          <w:tcPr>
            <w:tcW w:w="545" w:type="pct"/>
            <w:gridSpan w:val="2"/>
            <w:shd w:val="clear" w:color="auto" w:fill="auto"/>
            <w:tcMar>
              <w:top w:w="15" w:type="dxa"/>
              <w:left w:w="15" w:type="dxa"/>
              <w:right w:w="15" w:type="dxa"/>
            </w:tcMar>
            <w:vAlign w:val="center"/>
          </w:tcPr>
          <w:p w14:paraId="509761EB">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没收违法所得，</w:t>
            </w:r>
            <w:r>
              <w:rPr>
                <w:rFonts w:hint="default" w:ascii="Times New Roman" w:hAnsi="Times New Roman" w:cs="Times New Roman" w:eastAsiaTheme="minorEastAsia"/>
                <w:color w:val="auto"/>
                <w:kern w:val="0"/>
                <w:sz w:val="18"/>
                <w:szCs w:val="18"/>
                <w:highlight w:val="none"/>
              </w:rPr>
              <w:t>对单位处</w:t>
            </w:r>
            <w:r>
              <w:rPr>
                <w:rFonts w:hint="default" w:ascii="Times New Roman" w:hAnsi="Times New Roman" w:cs="Times New Roman" w:eastAsiaTheme="minorEastAsia"/>
                <w:color w:val="auto"/>
                <w:kern w:val="0"/>
                <w:sz w:val="18"/>
                <w:szCs w:val="18"/>
                <w:highlight w:val="none"/>
                <w:lang w:val="en-US" w:eastAsia="zh-CN"/>
              </w:rPr>
              <w:t>73万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100万</w:t>
            </w:r>
            <w:r>
              <w:rPr>
                <w:rFonts w:hint="default" w:ascii="Times New Roman" w:hAnsi="Times New Roman" w:cs="Times New Roman" w:eastAsiaTheme="minorEastAsia"/>
                <w:color w:val="auto"/>
                <w:kern w:val="0"/>
                <w:sz w:val="18"/>
                <w:szCs w:val="18"/>
                <w:highlight w:val="none"/>
              </w:rPr>
              <w:t>元以下的罚款，对个人处</w:t>
            </w:r>
            <w:r>
              <w:rPr>
                <w:rFonts w:hint="default" w:ascii="Times New Roman" w:hAnsi="Times New Roman" w:cs="Times New Roman" w:eastAsiaTheme="minorEastAsia"/>
                <w:color w:val="auto"/>
                <w:kern w:val="0"/>
                <w:sz w:val="18"/>
                <w:szCs w:val="18"/>
                <w:highlight w:val="none"/>
                <w:lang w:eastAsia="zh-CN"/>
              </w:rPr>
              <w:t>3</w:t>
            </w:r>
            <w:r>
              <w:rPr>
                <w:rFonts w:hint="default" w:ascii="Times New Roman" w:hAnsi="Times New Roman" w:cs="Times New Roman" w:eastAsiaTheme="minorEastAsia"/>
                <w:color w:val="auto"/>
                <w:kern w:val="0"/>
                <w:sz w:val="18"/>
                <w:szCs w:val="18"/>
                <w:highlight w:val="none"/>
                <w:lang w:val="en-US" w:eastAsia="zh-CN"/>
              </w:rPr>
              <w:t>80</w:t>
            </w:r>
            <w:r>
              <w:rPr>
                <w:rFonts w:hint="default" w:ascii="Times New Roman" w:hAnsi="Times New Roman" w:cs="Times New Roman" w:eastAsiaTheme="minorEastAsia"/>
                <w:color w:val="auto"/>
                <w:kern w:val="0"/>
                <w:sz w:val="18"/>
                <w:szCs w:val="18"/>
                <w:highlight w:val="none"/>
              </w:rPr>
              <w:t>元以上500元以下的罚款</w:t>
            </w:r>
          </w:p>
        </w:tc>
        <w:tc>
          <w:tcPr>
            <w:tcW w:w="200" w:type="pct"/>
            <w:gridSpan w:val="2"/>
            <w:vMerge w:val="continue"/>
            <w:shd w:val="clear" w:color="auto" w:fill="auto"/>
            <w:tcMar>
              <w:top w:w="15" w:type="dxa"/>
              <w:left w:w="15" w:type="dxa"/>
              <w:right w:w="15" w:type="dxa"/>
            </w:tcMar>
            <w:vAlign w:val="center"/>
          </w:tcPr>
          <w:p w14:paraId="6B21571B">
            <w:pPr>
              <w:widowControl/>
              <w:shd w:val="clear"/>
              <w:jc w:val="center"/>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0DFBDD16">
            <w:pPr>
              <w:shd w:val="clear"/>
              <w:jc w:val="center"/>
              <w:rPr>
                <w:rFonts w:hint="default" w:ascii="Times New Roman" w:hAnsi="Times New Roman" w:cs="Times New Roman" w:eastAsiaTheme="minorEastAsia"/>
                <w:color w:val="auto"/>
                <w:sz w:val="18"/>
                <w:szCs w:val="18"/>
                <w:highlight w:val="none"/>
              </w:rPr>
            </w:pPr>
          </w:p>
        </w:tc>
      </w:tr>
      <w:tr w14:paraId="65BE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5" w:hRule="atLeast"/>
        </w:trPr>
        <w:tc>
          <w:tcPr>
            <w:tcW w:w="117" w:type="pct"/>
            <w:gridSpan w:val="2"/>
            <w:vMerge w:val="restart"/>
            <w:shd w:val="clear" w:color="auto" w:fill="auto"/>
            <w:tcMar>
              <w:top w:w="15" w:type="dxa"/>
              <w:left w:w="15" w:type="dxa"/>
              <w:right w:w="15" w:type="dxa"/>
            </w:tcMar>
            <w:vAlign w:val="center"/>
          </w:tcPr>
          <w:p w14:paraId="4A28CD22">
            <w:pPr>
              <w:shd w:val="clear"/>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10</w:t>
            </w:r>
          </w:p>
        </w:tc>
        <w:tc>
          <w:tcPr>
            <w:tcW w:w="411" w:type="pct"/>
            <w:gridSpan w:val="2"/>
            <w:vMerge w:val="restart"/>
            <w:shd w:val="clear" w:color="auto" w:fill="auto"/>
            <w:tcMar>
              <w:top w:w="15" w:type="dxa"/>
              <w:left w:w="15" w:type="dxa"/>
              <w:right w:w="15" w:type="dxa"/>
            </w:tcMar>
            <w:vAlign w:val="center"/>
          </w:tcPr>
          <w:p w14:paraId="1DA26FA1">
            <w:pPr>
              <w:shd w:val="clear"/>
              <w:jc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sz w:val="18"/>
                <w:szCs w:val="18"/>
                <w:highlight w:val="none"/>
              </w:rPr>
              <w:t>畜禽养殖场、养殖小区利用未经无害化处理的厨余垃圾饲喂畜禽</w:t>
            </w:r>
            <w:r>
              <w:rPr>
                <w:rFonts w:hint="default" w:ascii="Times New Roman" w:hAnsi="Times New Roman" w:cs="Times New Roman" w:eastAsiaTheme="minorEastAsia"/>
                <w:color w:val="auto"/>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16A3B5C2">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《中华人民共和国固体废物污染环境防治法》第五十七条第三款：“禁止畜禽养殖场、养殖小区利用未经无害化处理的厨余垃圾饲喂畜禽。”</w:t>
            </w:r>
          </w:p>
        </w:tc>
        <w:tc>
          <w:tcPr>
            <w:tcW w:w="1314" w:type="pct"/>
            <w:gridSpan w:val="2"/>
            <w:vMerge w:val="restart"/>
            <w:shd w:val="clear" w:color="auto" w:fill="auto"/>
            <w:tcMar>
              <w:top w:w="15" w:type="dxa"/>
              <w:left w:w="15" w:type="dxa"/>
              <w:right w:w="15" w:type="dxa"/>
            </w:tcMar>
            <w:vAlign w:val="center"/>
          </w:tcPr>
          <w:p w14:paraId="35CF30D1">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中华人民共和国固体废物污染环境防治法》第一百一十一条：“违反本法规定，有下列行为之一，由县级以上地方人民政府环境卫生主管部门责令改正，处以罚款，没收违法所得：（六）畜禽养殖场、养殖小区利用未经无害化处理的厨余垃圾饲喂畜禽的；”“......单位有前款第二项、第三项、第四项、第五项、第六项行为之一，处十万元以上一百万元以下的罚款；......”</w:t>
            </w:r>
          </w:p>
        </w:tc>
        <w:tc>
          <w:tcPr>
            <w:tcW w:w="177" w:type="pct"/>
            <w:gridSpan w:val="2"/>
            <w:shd w:val="clear" w:color="auto" w:fill="auto"/>
            <w:tcMar>
              <w:top w:w="15" w:type="dxa"/>
              <w:left w:w="15" w:type="dxa"/>
              <w:right w:w="15" w:type="dxa"/>
            </w:tcMar>
            <w:vAlign w:val="center"/>
          </w:tcPr>
          <w:p w14:paraId="3B4D40D8">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5D984F3A">
            <w:pPr>
              <w:widowControl/>
              <w:shd w:val="clea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利用未经无害化处理的厨余垃圾饲喂畜禽50只（头）</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lang w:val="en-US" w:eastAsia="zh-CN"/>
              </w:rPr>
              <w:t>;</w:t>
            </w:r>
          </w:p>
          <w:p w14:paraId="7323518B">
            <w:pPr>
              <w:widowControl/>
              <w:shd w:val="clea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饲喂</w:t>
            </w:r>
            <w:r>
              <w:rPr>
                <w:rFonts w:hint="default" w:ascii="Times New Roman" w:hAnsi="Times New Roman" w:cs="Times New Roman" w:eastAsiaTheme="minorEastAsia"/>
                <w:color w:val="auto"/>
                <w:kern w:val="0"/>
                <w:sz w:val="18"/>
                <w:szCs w:val="18"/>
                <w:highlight w:val="none"/>
              </w:rPr>
              <w:t>时间2个月</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rPr>
              <w:t>；</w:t>
            </w:r>
          </w:p>
        </w:tc>
        <w:tc>
          <w:tcPr>
            <w:tcW w:w="545" w:type="pct"/>
            <w:gridSpan w:val="2"/>
            <w:shd w:val="clear" w:color="auto" w:fill="auto"/>
            <w:tcMar>
              <w:top w:w="15" w:type="dxa"/>
              <w:left w:w="15" w:type="dxa"/>
              <w:right w:w="15" w:type="dxa"/>
            </w:tcMar>
            <w:vAlign w:val="center"/>
          </w:tcPr>
          <w:p w14:paraId="3B6815DF">
            <w:pPr>
              <w:widowControl/>
              <w:shd w:val="clea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eastAsia="zh-CN"/>
              </w:rPr>
              <w:t>没收违法所得，</w:t>
            </w: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37万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restart"/>
            <w:shd w:val="clear" w:color="auto" w:fill="auto"/>
            <w:tcMar>
              <w:top w:w="15" w:type="dxa"/>
              <w:left w:w="15" w:type="dxa"/>
              <w:right w:w="15" w:type="dxa"/>
            </w:tcMar>
            <w:vAlign w:val="center"/>
          </w:tcPr>
          <w:p w14:paraId="1BD5EDF6">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责令改正</w:t>
            </w:r>
          </w:p>
          <w:p w14:paraId="2B519641">
            <w:pPr>
              <w:widowControl/>
              <w:shd w:val="clear"/>
              <w:jc w:val="center"/>
              <w:textAlignment w:val="center"/>
              <w:rPr>
                <w:rFonts w:hint="default" w:ascii="Times New Roman" w:hAnsi="Times New Roman" w:cs="Times New Roman" w:eastAsiaTheme="minorEastAsia"/>
                <w:color w:val="auto"/>
                <w:kern w:val="0"/>
                <w:sz w:val="18"/>
                <w:szCs w:val="18"/>
                <w:highlight w:val="none"/>
              </w:rPr>
            </w:pPr>
          </w:p>
          <w:p w14:paraId="3AAD20AD">
            <w:pPr>
              <w:widowControl/>
              <w:shd w:val="clear"/>
              <w:jc w:val="center"/>
              <w:textAlignment w:val="center"/>
              <w:rPr>
                <w:rFonts w:hint="default" w:ascii="Times New Roman" w:hAnsi="Times New Roman" w:cs="Times New Roman" w:eastAsiaTheme="minorEastAsia"/>
                <w:color w:val="auto"/>
                <w:kern w:val="0"/>
                <w:sz w:val="18"/>
                <w:szCs w:val="18"/>
                <w:highlight w:val="none"/>
              </w:rPr>
            </w:pPr>
          </w:p>
        </w:tc>
        <w:tc>
          <w:tcPr>
            <w:tcW w:w="390" w:type="pct"/>
            <w:gridSpan w:val="3"/>
            <w:vMerge w:val="restart"/>
            <w:shd w:val="clear" w:color="auto" w:fill="auto"/>
            <w:tcMar>
              <w:top w:w="15" w:type="dxa"/>
              <w:left w:w="15" w:type="dxa"/>
              <w:right w:w="15" w:type="dxa"/>
            </w:tcMar>
            <w:vAlign w:val="center"/>
          </w:tcPr>
          <w:p w14:paraId="271A3D0E">
            <w:pPr>
              <w:shd w:val="clear"/>
              <w:jc w:val="center"/>
              <w:rPr>
                <w:rFonts w:hint="default" w:ascii="Times New Roman" w:hAnsi="Times New Roman" w:cs="Times New Roman" w:eastAsiaTheme="minorEastAsia"/>
                <w:color w:val="auto"/>
                <w:sz w:val="18"/>
                <w:szCs w:val="18"/>
                <w:highlight w:val="none"/>
                <w:lang w:val="en-US" w:eastAsia="zh-CN"/>
              </w:rPr>
            </w:pPr>
          </w:p>
        </w:tc>
      </w:tr>
      <w:tr w14:paraId="3E62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0" w:hRule="atLeast"/>
        </w:trPr>
        <w:tc>
          <w:tcPr>
            <w:tcW w:w="117" w:type="pct"/>
            <w:gridSpan w:val="2"/>
            <w:vMerge w:val="continue"/>
            <w:shd w:val="clear" w:color="auto" w:fill="auto"/>
            <w:tcMar>
              <w:top w:w="15" w:type="dxa"/>
              <w:left w:w="15" w:type="dxa"/>
              <w:right w:w="15" w:type="dxa"/>
            </w:tcMar>
            <w:vAlign w:val="center"/>
          </w:tcPr>
          <w:p w14:paraId="49EA3C86">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43BA6D95">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57B6CA13">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30C59FCA">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08D38BAC">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001FED96">
            <w:pPr>
              <w:widowControl/>
              <w:shd w:val="clear"/>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利用未经无害化处理的厨余垃圾饲喂畜禽50只（头）</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200只（头）</w:t>
            </w:r>
            <w:r>
              <w:rPr>
                <w:rFonts w:hint="default" w:ascii="Times New Roman" w:hAnsi="Times New Roman" w:cs="Times New Roman" w:eastAsiaTheme="minorEastAsia"/>
                <w:color w:val="auto"/>
                <w:kern w:val="0"/>
                <w:sz w:val="18"/>
                <w:szCs w:val="18"/>
                <w:highlight w:val="none"/>
                <w:lang w:eastAsia="zh-CN"/>
              </w:rPr>
              <w:t>以下；</w:t>
            </w:r>
          </w:p>
          <w:p w14:paraId="289FEFE7">
            <w:pPr>
              <w:widowControl/>
              <w:shd w:val="clea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eastAsia="zh-CN"/>
              </w:rPr>
              <w:t>饲喂</w:t>
            </w:r>
            <w:r>
              <w:rPr>
                <w:rFonts w:hint="default" w:ascii="Times New Roman" w:hAnsi="Times New Roman" w:cs="Times New Roman" w:eastAsiaTheme="minorEastAsia"/>
                <w:color w:val="auto"/>
                <w:kern w:val="0"/>
                <w:sz w:val="18"/>
                <w:szCs w:val="18"/>
                <w:highlight w:val="none"/>
              </w:rPr>
              <w:t>时间2个月</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6个月</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17253A6F">
            <w:pPr>
              <w:widowControl/>
              <w:shd w:val="clea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eastAsia="zh-CN"/>
              </w:rPr>
              <w:t>没收违法所得，</w:t>
            </w: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37万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73万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5C51A0B4">
            <w:pPr>
              <w:widowControl/>
              <w:shd w:val="clear"/>
              <w:jc w:val="center"/>
              <w:textAlignment w:val="center"/>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78846E32">
            <w:pPr>
              <w:shd w:val="clear"/>
              <w:jc w:val="center"/>
              <w:rPr>
                <w:rFonts w:hint="default" w:ascii="Times New Roman" w:hAnsi="Times New Roman" w:cs="Times New Roman" w:eastAsiaTheme="minorEastAsia"/>
                <w:color w:val="auto"/>
                <w:sz w:val="18"/>
                <w:szCs w:val="18"/>
                <w:highlight w:val="none"/>
              </w:rPr>
            </w:pPr>
          </w:p>
        </w:tc>
      </w:tr>
      <w:tr w14:paraId="3AD8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117" w:type="pct"/>
            <w:gridSpan w:val="2"/>
            <w:vMerge w:val="continue"/>
            <w:shd w:val="clear" w:color="auto" w:fill="auto"/>
            <w:tcMar>
              <w:top w:w="15" w:type="dxa"/>
              <w:left w:w="15" w:type="dxa"/>
              <w:right w:w="15" w:type="dxa"/>
            </w:tcMar>
            <w:vAlign w:val="center"/>
          </w:tcPr>
          <w:p w14:paraId="7BDD928C">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5719906B">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03367753">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3A37A50C">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10EAE0F4">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073AB0FC">
            <w:pPr>
              <w:widowControl/>
              <w:shd w:val="clear"/>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利用未经无害化处理的厨余垃圾饲喂畜禽200只（头）</w:t>
            </w:r>
            <w:r>
              <w:rPr>
                <w:rFonts w:hint="default" w:ascii="Times New Roman" w:hAnsi="Times New Roman" w:cs="Times New Roman" w:eastAsiaTheme="minorEastAsia"/>
                <w:color w:val="auto"/>
                <w:kern w:val="0"/>
                <w:sz w:val="18"/>
                <w:szCs w:val="18"/>
                <w:highlight w:val="none"/>
                <w:lang w:eastAsia="zh-CN"/>
              </w:rPr>
              <w:t>以上；</w:t>
            </w:r>
          </w:p>
          <w:p w14:paraId="779A3FF2">
            <w:pPr>
              <w:widowControl/>
              <w:shd w:val="clea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eastAsia="zh-CN"/>
              </w:rPr>
              <w:t>饲喂</w:t>
            </w:r>
            <w:r>
              <w:rPr>
                <w:rFonts w:hint="default" w:ascii="Times New Roman" w:hAnsi="Times New Roman" w:cs="Times New Roman" w:eastAsiaTheme="minorEastAsia"/>
                <w:color w:val="auto"/>
                <w:kern w:val="0"/>
                <w:sz w:val="18"/>
                <w:szCs w:val="18"/>
                <w:highlight w:val="none"/>
              </w:rPr>
              <w:t>时间6个月</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61705ED2">
            <w:pPr>
              <w:widowControl/>
              <w:shd w:val="clea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eastAsia="zh-CN"/>
              </w:rPr>
              <w:t>没收违法所得，</w:t>
            </w: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73万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100万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1892F9D8">
            <w:pPr>
              <w:widowControl/>
              <w:shd w:val="clear"/>
              <w:jc w:val="center"/>
              <w:textAlignment w:val="center"/>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01BA7160">
            <w:pPr>
              <w:shd w:val="clear"/>
              <w:jc w:val="center"/>
              <w:rPr>
                <w:rFonts w:hint="default" w:ascii="Times New Roman" w:hAnsi="Times New Roman" w:cs="Times New Roman" w:eastAsiaTheme="minorEastAsia"/>
                <w:color w:val="auto"/>
                <w:sz w:val="18"/>
                <w:szCs w:val="18"/>
                <w:highlight w:val="none"/>
              </w:rPr>
            </w:pPr>
          </w:p>
        </w:tc>
      </w:tr>
      <w:tr w14:paraId="24B7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7" w:type="pct"/>
            <w:gridSpan w:val="2"/>
            <w:vMerge w:val="restart"/>
            <w:shd w:val="clear" w:color="auto" w:fill="auto"/>
            <w:tcMar>
              <w:top w:w="15" w:type="dxa"/>
              <w:left w:w="15" w:type="dxa"/>
              <w:right w:w="15" w:type="dxa"/>
            </w:tcMar>
            <w:vAlign w:val="center"/>
          </w:tcPr>
          <w:p w14:paraId="370A3B70">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11</w:t>
            </w:r>
          </w:p>
        </w:tc>
        <w:tc>
          <w:tcPr>
            <w:tcW w:w="411" w:type="pct"/>
            <w:gridSpan w:val="2"/>
            <w:vMerge w:val="restart"/>
            <w:shd w:val="clear" w:color="auto" w:fill="auto"/>
            <w:tcMar>
              <w:top w:w="15" w:type="dxa"/>
              <w:left w:w="15" w:type="dxa"/>
              <w:right w:w="15" w:type="dxa"/>
            </w:tcMar>
            <w:vAlign w:val="center"/>
          </w:tcPr>
          <w:p w14:paraId="3F6C1FE8">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新建、改建、扩建建设项目的配套生活垃圾分类、收集、转运设施未达到规划设计要求，或者未与主体工程、首期工程同时交付使用</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443D7A4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 xml:space="preserve">    </w:t>
            </w:r>
            <w:r>
              <w:rPr>
                <w:rFonts w:hint="default" w:ascii="Times New Roman" w:hAnsi="Times New Roman" w:cs="Times New Roman" w:eastAsiaTheme="minorEastAsia"/>
                <w:color w:val="auto"/>
                <w:kern w:val="0"/>
                <w:sz w:val="18"/>
                <w:szCs w:val="18"/>
                <w:highlight w:val="none"/>
              </w:rPr>
              <w:br w:type="textWrapping"/>
            </w:r>
            <w:r>
              <w:rPr>
                <w:rFonts w:hint="default" w:ascii="Times New Roman" w:hAnsi="Times New Roman" w:cs="Times New Roman" w:eastAsiaTheme="minorEastAsia"/>
                <w:color w:val="auto"/>
                <w:kern w:val="0"/>
                <w:sz w:val="18"/>
                <w:szCs w:val="18"/>
                <w:highlight w:val="none"/>
              </w:rPr>
              <w:t xml:space="preserve">《广东省城乡生活垃圾管理条例》第三十八条：“新建、改建、扩建建设工程应当按照标准配套建设生活垃圾分类投放、收集、转运设施，达到规划设计要求。”“配套生活垃圾分类投放、收集、转运设施应当与主体工程同时设计、同时施工、同时交付使用；建设工程分期建设的，配套生活垃圾处理设施应当与首期工程同时交付使用；配套设施建设费用纳入建设工程投资预算。”   </w:t>
            </w:r>
            <w:r>
              <w:rPr>
                <w:rFonts w:hint="default" w:ascii="Times New Roman" w:hAnsi="Times New Roman" w:cs="Times New Roman" w:eastAsiaTheme="minorEastAsia"/>
                <w:color w:val="auto"/>
                <w:kern w:val="0"/>
                <w:sz w:val="18"/>
                <w:szCs w:val="18"/>
                <w:highlight w:val="none"/>
              </w:rPr>
              <w:br w:type="textWrapping"/>
            </w:r>
            <w:r>
              <w:rPr>
                <w:rFonts w:hint="default" w:ascii="Times New Roman" w:hAnsi="Times New Roman" w:cs="Times New Roman" w:eastAsiaTheme="minorEastAsia"/>
                <w:color w:val="auto"/>
                <w:kern w:val="0"/>
                <w:sz w:val="18"/>
                <w:szCs w:val="18"/>
                <w:highlight w:val="none"/>
              </w:rPr>
              <w:t xml:space="preserve"> </w:t>
            </w:r>
            <w:r>
              <w:rPr>
                <w:rFonts w:hint="default" w:ascii="Times New Roman" w:hAnsi="Times New Roman" w:cs="Times New Roman" w:eastAsiaTheme="minorEastAsia"/>
                <w:color w:val="auto"/>
                <w:kern w:val="0"/>
                <w:sz w:val="18"/>
                <w:szCs w:val="18"/>
                <w:highlight w:val="none"/>
              </w:rPr>
              <w:br w:type="textWrapping"/>
            </w:r>
            <w:r>
              <w:rPr>
                <w:rFonts w:hint="default" w:ascii="Times New Roman" w:hAnsi="Times New Roman" w:cs="Times New Roman" w:eastAsiaTheme="minorEastAsia"/>
                <w:color w:val="auto"/>
                <w:kern w:val="0"/>
                <w:sz w:val="18"/>
                <w:szCs w:val="18"/>
                <w:highlight w:val="none"/>
              </w:rPr>
              <w:t xml:space="preserve">                   </w:t>
            </w:r>
          </w:p>
        </w:tc>
        <w:tc>
          <w:tcPr>
            <w:tcW w:w="1314" w:type="pct"/>
            <w:gridSpan w:val="2"/>
            <w:vMerge w:val="restart"/>
            <w:shd w:val="clear" w:color="auto" w:fill="auto"/>
            <w:tcMar>
              <w:top w:w="15" w:type="dxa"/>
              <w:left w:w="15" w:type="dxa"/>
              <w:right w:w="15" w:type="dxa"/>
            </w:tcMar>
            <w:vAlign w:val="center"/>
          </w:tcPr>
          <w:p w14:paraId="57E5F308">
            <w:pPr>
              <w:widowControl/>
              <w:shd w:val="clear"/>
              <w:jc w:val="left"/>
              <w:textAlignment w:val="center"/>
              <w:rPr>
                <w:rFonts w:hint="default" w:ascii="Times New Roman" w:hAnsi="Times New Roman" w:cs="Times New Roman" w:eastAsiaTheme="minorEastAsia"/>
                <w:color w:val="auto"/>
                <w:sz w:val="18"/>
                <w:szCs w:val="18"/>
                <w:highlight w:val="none"/>
              </w:rPr>
            </w:pPr>
            <w:r>
              <w:rPr>
                <w:rStyle w:val="14"/>
                <w:rFonts w:hint="default" w:ascii="Times New Roman" w:hAnsi="Times New Roman" w:cs="Times New Roman" w:eastAsiaTheme="minorEastAsia"/>
                <w:color w:val="auto"/>
                <w:sz w:val="18"/>
                <w:szCs w:val="18"/>
                <w:highlight w:val="none"/>
              </w:rPr>
              <w:br w:type="textWrapping"/>
            </w:r>
            <w:r>
              <w:rPr>
                <w:rStyle w:val="15"/>
                <w:rFonts w:hint="default" w:ascii="Times New Roman" w:hAnsi="Times New Roman" w:cs="Times New Roman" w:eastAsiaTheme="minorEastAsia"/>
                <w:color w:val="auto"/>
                <w:sz w:val="18"/>
                <w:szCs w:val="18"/>
                <w:highlight w:val="none"/>
              </w:rPr>
              <w:t>《广东省城乡生活垃圾管理条例》第五十七条：“违反本条例第三十八条规定，新建、改建、扩建建设项目的配套生活垃圾分类投放、收集、转运设施未达到规划设计要求，或者未与主体工程、首期工程同时交付使用的，由县级以上人民政府自然资源、生态环境、环境卫生等有关部门根据职责分工，责令限期改正，可以处三万元以上十万元以下的罚款。法律法规有处罚规定的，按照其规定处罚。”</w:t>
            </w:r>
          </w:p>
        </w:tc>
        <w:tc>
          <w:tcPr>
            <w:tcW w:w="177" w:type="pct"/>
            <w:gridSpan w:val="2"/>
            <w:shd w:val="clear" w:color="auto" w:fill="auto"/>
            <w:tcMar>
              <w:top w:w="15" w:type="dxa"/>
              <w:left w:w="15" w:type="dxa"/>
              <w:right w:w="15" w:type="dxa"/>
            </w:tcMar>
            <w:vAlign w:val="center"/>
          </w:tcPr>
          <w:p w14:paraId="204CF4B7">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50AE161B">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尚未造成生活垃圾处理能力降低</w:t>
            </w:r>
          </w:p>
        </w:tc>
        <w:tc>
          <w:tcPr>
            <w:tcW w:w="545" w:type="pct"/>
            <w:gridSpan w:val="2"/>
            <w:shd w:val="clear" w:color="auto" w:fill="auto"/>
            <w:tcMar>
              <w:top w:w="15" w:type="dxa"/>
              <w:left w:w="15" w:type="dxa"/>
              <w:right w:w="15" w:type="dxa"/>
            </w:tcMar>
            <w:vAlign w:val="center"/>
          </w:tcPr>
          <w:p w14:paraId="76C67F49">
            <w:pPr>
              <w:widowControl/>
              <w:shd w:val="clear"/>
              <w:jc w:val="left"/>
              <w:textAlignment w:val="center"/>
              <w:rPr>
                <w:rFonts w:hint="default" w:ascii="Times New Roman" w:hAnsi="Times New Roman" w:cs="Times New Roman" w:eastAsiaTheme="minorEastAsia"/>
                <w:color w:val="auto"/>
                <w:sz w:val="18"/>
                <w:szCs w:val="18"/>
                <w:highlight w:val="none"/>
              </w:rPr>
            </w:pPr>
            <w:r>
              <w:rPr>
                <w:rStyle w:val="15"/>
                <w:rFonts w:hint="default" w:ascii="Times New Roman" w:hAnsi="Times New Roman" w:cs="Times New Roman" w:eastAsiaTheme="minorEastAsia"/>
                <w:color w:val="auto"/>
                <w:sz w:val="18"/>
                <w:szCs w:val="18"/>
                <w:highlight w:val="none"/>
              </w:rPr>
              <w:t>可</w:t>
            </w: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5.1万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restart"/>
            <w:shd w:val="clear" w:color="auto" w:fill="auto"/>
            <w:tcMar>
              <w:top w:w="15" w:type="dxa"/>
              <w:left w:w="15" w:type="dxa"/>
              <w:right w:w="15" w:type="dxa"/>
            </w:tcMar>
            <w:vAlign w:val="center"/>
          </w:tcPr>
          <w:p w14:paraId="7D128804">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w:t>
            </w:r>
          </w:p>
          <w:p w14:paraId="6080AE43">
            <w:pPr>
              <w:widowControl/>
              <w:shd w:val="clear"/>
              <w:jc w:val="left"/>
              <w:textAlignment w:val="center"/>
              <w:rPr>
                <w:rFonts w:hint="default" w:ascii="Times New Roman" w:hAnsi="Times New Roman" w:cs="Times New Roman" w:eastAsiaTheme="minorEastAsia"/>
                <w:color w:val="auto"/>
                <w:sz w:val="18"/>
                <w:szCs w:val="18"/>
                <w:highlight w:val="none"/>
              </w:rPr>
            </w:pPr>
          </w:p>
          <w:p w14:paraId="799710D9">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1E9A6316">
            <w:pPr>
              <w:shd w:val="clear"/>
              <w:jc w:val="left"/>
              <w:rPr>
                <w:rFonts w:hint="default" w:ascii="Times New Roman" w:hAnsi="Times New Roman" w:cs="Times New Roman" w:eastAsiaTheme="minorEastAsia"/>
                <w:color w:val="auto"/>
                <w:sz w:val="18"/>
                <w:szCs w:val="18"/>
                <w:highlight w:val="none"/>
                <w:lang w:val="en-US" w:eastAsia="zh-CN"/>
              </w:rPr>
            </w:pPr>
          </w:p>
        </w:tc>
      </w:tr>
      <w:tr w14:paraId="5B70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7" w:type="pct"/>
            <w:gridSpan w:val="2"/>
            <w:vMerge w:val="continue"/>
            <w:shd w:val="clear" w:color="auto" w:fill="auto"/>
            <w:tcMar>
              <w:top w:w="15" w:type="dxa"/>
              <w:left w:w="15" w:type="dxa"/>
              <w:right w:w="15" w:type="dxa"/>
            </w:tcMar>
            <w:vAlign w:val="center"/>
          </w:tcPr>
          <w:p w14:paraId="00D7184F">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2FCEE0FD">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41743B12">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347C0CE4">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4ABDE46A">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17E2103F">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造成生活垃圾处理能力降低但尚未造成严重危害后果</w:t>
            </w:r>
          </w:p>
        </w:tc>
        <w:tc>
          <w:tcPr>
            <w:tcW w:w="545" w:type="pct"/>
            <w:gridSpan w:val="2"/>
            <w:shd w:val="clear" w:color="auto" w:fill="auto"/>
            <w:tcMar>
              <w:top w:w="15" w:type="dxa"/>
              <w:left w:w="15" w:type="dxa"/>
              <w:right w:w="15" w:type="dxa"/>
            </w:tcMar>
            <w:vAlign w:val="center"/>
          </w:tcPr>
          <w:p w14:paraId="21370720">
            <w:pPr>
              <w:widowControl/>
              <w:shd w:val="clear"/>
              <w:jc w:val="left"/>
              <w:textAlignment w:val="center"/>
              <w:rPr>
                <w:rFonts w:hint="default" w:ascii="Times New Roman" w:hAnsi="Times New Roman" w:cs="Times New Roman" w:eastAsiaTheme="minorEastAsia"/>
                <w:color w:val="auto"/>
                <w:sz w:val="18"/>
                <w:szCs w:val="18"/>
                <w:highlight w:val="none"/>
              </w:rPr>
            </w:pPr>
            <w:r>
              <w:rPr>
                <w:rStyle w:val="15"/>
                <w:rFonts w:hint="default" w:ascii="Times New Roman" w:hAnsi="Times New Roman" w:cs="Times New Roman" w:eastAsiaTheme="minorEastAsia"/>
                <w:color w:val="auto"/>
                <w:sz w:val="18"/>
                <w:szCs w:val="18"/>
                <w:highlight w:val="none"/>
              </w:rPr>
              <w:t>可</w:t>
            </w: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5.1万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7.9万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442C5F8A">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75EE0BF7">
            <w:pPr>
              <w:shd w:val="clear"/>
              <w:jc w:val="left"/>
              <w:rPr>
                <w:rFonts w:hint="default" w:ascii="Times New Roman" w:hAnsi="Times New Roman" w:cs="Times New Roman" w:eastAsiaTheme="minorEastAsia"/>
                <w:color w:val="auto"/>
                <w:sz w:val="18"/>
                <w:szCs w:val="18"/>
                <w:highlight w:val="none"/>
              </w:rPr>
            </w:pPr>
          </w:p>
        </w:tc>
      </w:tr>
      <w:tr w14:paraId="0210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2" w:hRule="atLeast"/>
        </w:trPr>
        <w:tc>
          <w:tcPr>
            <w:tcW w:w="117" w:type="pct"/>
            <w:gridSpan w:val="2"/>
            <w:vMerge w:val="continue"/>
            <w:shd w:val="clear" w:color="auto" w:fill="auto"/>
            <w:tcMar>
              <w:top w:w="15" w:type="dxa"/>
              <w:left w:w="15" w:type="dxa"/>
              <w:right w:w="15" w:type="dxa"/>
            </w:tcMar>
            <w:vAlign w:val="center"/>
          </w:tcPr>
          <w:p w14:paraId="3AA99E63">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262EFAD5">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261AC637">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4013F482">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5A46195F">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165B919E">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造成生活垃圾处理停运或其它严重危害后果</w:t>
            </w:r>
          </w:p>
        </w:tc>
        <w:tc>
          <w:tcPr>
            <w:tcW w:w="545" w:type="pct"/>
            <w:gridSpan w:val="2"/>
            <w:shd w:val="clear" w:color="auto" w:fill="auto"/>
            <w:tcMar>
              <w:top w:w="15" w:type="dxa"/>
              <w:left w:w="15" w:type="dxa"/>
              <w:right w:w="15" w:type="dxa"/>
            </w:tcMar>
            <w:vAlign w:val="center"/>
          </w:tcPr>
          <w:p w14:paraId="4E5CBA6E">
            <w:pPr>
              <w:widowControl/>
              <w:shd w:val="clear"/>
              <w:jc w:val="left"/>
              <w:textAlignment w:val="center"/>
              <w:rPr>
                <w:rFonts w:hint="default" w:ascii="Times New Roman" w:hAnsi="Times New Roman" w:cs="Times New Roman" w:eastAsiaTheme="minorEastAsia"/>
                <w:color w:val="auto"/>
                <w:sz w:val="18"/>
                <w:szCs w:val="18"/>
                <w:highlight w:val="none"/>
              </w:rPr>
            </w:pPr>
            <w:r>
              <w:rPr>
                <w:rStyle w:val="15"/>
                <w:rFonts w:hint="default" w:ascii="Times New Roman" w:hAnsi="Times New Roman" w:cs="Times New Roman" w:eastAsiaTheme="minorEastAsia"/>
                <w:color w:val="auto"/>
                <w:sz w:val="18"/>
                <w:szCs w:val="18"/>
                <w:highlight w:val="none"/>
              </w:rPr>
              <w:t>可</w:t>
            </w: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7.9万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49C246CC">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57CCCC61">
            <w:pPr>
              <w:shd w:val="clear"/>
              <w:jc w:val="left"/>
              <w:rPr>
                <w:rFonts w:hint="default" w:ascii="Times New Roman" w:hAnsi="Times New Roman" w:cs="Times New Roman" w:eastAsiaTheme="minorEastAsia"/>
                <w:color w:val="auto"/>
                <w:sz w:val="18"/>
                <w:szCs w:val="18"/>
                <w:highlight w:val="none"/>
              </w:rPr>
            </w:pPr>
          </w:p>
        </w:tc>
      </w:tr>
      <w:tr w14:paraId="52B9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7" w:type="pct"/>
            <w:gridSpan w:val="2"/>
            <w:vMerge w:val="restart"/>
            <w:shd w:val="clear" w:color="auto" w:fill="auto"/>
            <w:tcMar>
              <w:top w:w="15" w:type="dxa"/>
              <w:left w:w="15" w:type="dxa"/>
              <w:right w:w="15" w:type="dxa"/>
            </w:tcMar>
            <w:vAlign w:val="center"/>
          </w:tcPr>
          <w:p w14:paraId="5B515E8A">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12</w:t>
            </w:r>
          </w:p>
        </w:tc>
        <w:tc>
          <w:tcPr>
            <w:tcW w:w="411" w:type="pct"/>
            <w:gridSpan w:val="2"/>
            <w:vMerge w:val="restart"/>
            <w:shd w:val="clear" w:color="auto" w:fill="auto"/>
            <w:tcMar>
              <w:top w:w="15" w:type="dxa"/>
              <w:left w:w="15" w:type="dxa"/>
              <w:right w:w="15" w:type="dxa"/>
            </w:tcMar>
            <w:vAlign w:val="center"/>
          </w:tcPr>
          <w:p w14:paraId="202DA194">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损坏各类环境卫生设施及其附属设施</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0353387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 xml:space="preserve">1.《城市市容和环境卫生管理条例》第十二条：“城市中的市政公用设施，应当与周围环境相协调，并维护和保持设施完好、整洁。”                                </w:t>
            </w:r>
            <w:r>
              <w:rPr>
                <w:rFonts w:hint="default" w:ascii="Times New Roman" w:hAnsi="Times New Roman" w:cs="Times New Roman" w:eastAsiaTheme="minorEastAsia"/>
                <w:color w:val="auto"/>
                <w:kern w:val="0"/>
                <w:sz w:val="18"/>
                <w:szCs w:val="18"/>
                <w:highlight w:val="none"/>
              </w:rPr>
              <w:br w:type="textWrapping"/>
            </w:r>
            <w:r>
              <w:rPr>
                <w:rFonts w:hint="default" w:ascii="Times New Roman" w:hAnsi="Times New Roman" w:cs="Times New Roman" w:eastAsiaTheme="minorEastAsia"/>
                <w:color w:val="auto"/>
                <w:kern w:val="0"/>
                <w:sz w:val="18"/>
                <w:szCs w:val="18"/>
                <w:highlight w:val="none"/>
              </w:rPr>
              <w:t>2.《东莞市环境卫生管理规定》第十五条第一款：“任何单位和个人不得损坏或者擅自拆除、迁移环境卫生设施。”</w:t>
            </w:r>
          </w:p>
        </w:tc>
        <w:tc>
          <w:tcPr>
            <w:tcW w:w="1314" w:type="pct"/>
            <w:gridSpan w:val="2"/>
            <w:vMerge w:val="restart"/>
            <w:shd w:val="clear" w:color="auto" w:fill="auto"/>
            <w:tcMar>
              <w:top w:w="15" w:type="dxa"/>
              <w:left w:w="15" w:type="dxa"/>
              <w:right w:w="15" w:type="dxa"/>
            </w:tcMar>
            <w:vAlign w:val="center"/>
          </w:tcPr>
          <w:p w14:paraId="0A2E215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 xml:space="preserve">1.《城市市容和环境卫生管理条例》第三十八条：“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法》的规定处罚；构成犯罪的，依法追究刑事责任。”             </w:t>
            </w:r>
            <w:r>
              <w:rPr>
                <w:rFonts w:hint="default" w:ascii="Times New Roman" w:hAnsi="Times New Roman" w:cs="Times New Roman" w:eastAsiaTheme="minorEastAsia"/>
                <w:color w:val="auto"/>
                <w:kern w:val="0"/>
                <w:sz w:val="18"/>
                <w:szCs w:val="18"/>
                <w:highlight w:val="none"/>
              </w:rPr>
              <w:br w:type="textWrapping"/>
            </w:r>
            <w:r>
              <w:rPr>
                <w:rFonts w:hint="default" w:ascii="Times New Roman" w:hAnsi="Times New Roman" w:cs="Times New Roman" w:eastAsiaTheme="minorEastAsia"/>
                <w:color w:val="auto"/>
                <w:kern w:val="0"/>
                <w:sz w:val="18"/>
                <w:szCs w:val="18"/>
                <w:highlight w:val="none"/>
              </w:rPr>
              <w:t>2.《东莞市环境卫生管理规定》第五十条第一款：“违反本规定有关环境卫生设施规划与建设管理规定的，由环境卫生主管部门按下列规定予以处罚：（二）违反第十五条第一款规定，损坏环境卫生设施及其附属设施的，根据《城市市容和环境卫生管理条例》第三十八条规定，责令恢复原状，并可对单位处以500元以上5000元以下的罚款，对个人处以100元以下的罚款。”</w:t>
            </w:r>
          </w:p>
        </w:tc>
        <w:tc>
          <w:tcPr>
            <w:tcW w:w="177" w:type="pct"/>
            <w:gridSpan w:val="2"/>
            <w:shd w:val="clear" w:color="auto" w:fill="auto"/>
            <w:tcMar>
              <w:top w:w="15" w:type="dxa"/>
              <w:left w:w="15" w:type="dxa"/>
              <w:right w:w="15" w:type="dxa"/>
            </w:tcMar>
            <w:vAlign w:val="center"/>
          </w:tcPr>
          <w:p w14:paraId="4F3615DE">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7A11C76F">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损坏</w:t>
            </w:r>
            <w:r>
              <w:rPr>
                <w:rFonts w:hint="default" w:ascii="Times New Roman" w:hAnsi="Times New Roman" w:cs="Times New Roman" w:eastAsiaTheme="minorEastAsia"/>
                <w:color w:val="auto"/>
                <w:kern w:val="0"/>
                <w:sz w:val="18"/>
                <w:szCs w:val="18"/>
                <w:highlight w:val="none"/>
                <w:lang w:val="en-US"/>
              </w:rPr>
              <w:t>各类</w:t>
            </w:r>
            <w:r>
              <w:rPr>
                <w:rFonts w:hint="default" w:ascii="Times New Roman" w:hAnsi="Times New Roman" w:cs="Times New Roman" w:eastAsiaTheme="minorEastAsia"/>
                <w:color w:val="auto"/>
                <w:kern w:val="0"/>
                <w:sz w:val="18"/>
                <w:szCs w:val="18"/>
                <w:highlight w:val="none"/>
              </w:rPr>
              <w:t>环境卫生设施</w:t>
            </w:r>
            <w:r>
              <w:rPr>
                <w:rFonts w:hint="default" w:ascii="Times New Roman" w:hAnsi="Times New Roman" w:cs="Times New Roman" w:eastAsiaTheme="minorEastAsia"/>
                <w:color w:val="auto"/>
                <w:kern w:val="0"/>
                <w:sz w:val="18"/>
                <w:szCs w:val="18"/>
                <w:highlight w:val="none"/>
                <w:lang w:val="en-US" w:eastAsia="zh-CN"/>
              </w:rPr>
              <w:t>1处</w:t>
            </w:r>
            <w:r>
              <w:rPr>
                <w:rFonts w:hint="default" w:ascii="Times New Roman" w:hAnsi="Times New Roman" w:cs="Times New Roman" w:eastAsiaTheme="minorEastAsia"/>
                <w:color w:val="auto"/>
                <w:kern w:val="0"/>
                <w:sz w:val="18"/>
                <w:szCs w:val="18"/>
                <w:highlight w:val="none"/>
                <w:lang w:eastAsia="zh-CN"/>
              </w:rPr>
              <w:t>；</w:t>
            </w:r>
          </w:p>
          <w:p w14:paraId="416552D1">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环境卫生设施及其附属设施</w:t>
            </w:r>
            <w:r>
              <w:rPr>
                <w:rFonts w:hint="default" w:ascii="Times New Roman" w:hAnsi="Times New Roman" w:cs="Times New Roman" w:eastAsiaTheme="minorEastAsia"/>
                <w:color w:val="auto"/>
                <w:kern w:val="0"/>
                <w:sz w:val="18"/>
                <w:szCs w:val="18"/>
                <w:highlight w:val="none"/>
                <w:lang w:eastAsia="zh-CN"/>
              </w:rPr>
              <w:t>造价</w:t>
            </w:r>
            <w:r>
              <w:rPr>
                <w:rFonts w:hint="default" w:ascii="Times New Roman" w:hAnsi="Times New Roman" w:cs="Times New Roman" w:eastAsiaTheme="minorEastAsia"/>
                <w:color w:val="auto"/>
                <w:kern w:val="0"/>
                <w:sz w:val="18"/>
                <w:szCs w:val="18"/>
                <w:highlight w:val="none"/>
                <w:lang w:val="en-US" w:eastAsia="zh-CN"/>
              </w:rPr>
              <w:t>500元以下</w:t>
            </w:r>
          </w:p>
        </w:tc>
        <w:tc>
          <w:tcPr>
            <w:tcW w:w="545" w:type="pct"/>
            <w:gridSpan w:val="2"/>
            <w:shd w:val="clear" w:color="auto" w:fill="auto"/>
            <w:tcMar>
              <w:top w:w="15" w:type="dxa"/>
              <w:left w:w="15" w:type="dxa"/>
              <w:right w:w="15" w:type="dxa"/>
            </w:tcMar>
            <w:vAlign w:val="center"/>
          </w:tcPr>
          <w:p w14:paraId="50475EE7">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并可对单位处以500元以上</w:t>
            </w:r>
            <w:r>
              <w:rPr>
                <w:rFonts w:hint="default" w:ascii="Times New Roman" w:hAnsi="Times New Roman" w:cs="Times New Roman" w:eastAsiaTheme="minorEastAsia"/>
                <w:color w:val="auto"/>
                <w:kern w:val="0"/>
                <w:sz w:val="18"/>
                <w:szCs w:val="18"/>
                <w:highlight w:val="none"/>
                <w:lang w:val="en-US" w:eastAsia="zh-CN"/>
              </w:rPr>
              <w:t>1850</w:t>
            </w:r>
            <w:r>
              <w:rPr>
                <w:rFonts w:hint="default" w:ascii="Times New Roman" w:hAnsi="Times New Roman" w:cs="Times New Roman" w:eastAsiaTheme="minorEastAsia"/>
                <w:color w:val="auto"/>
                <w:kern w:val="0"/>
                <w:sz w:val="18"/>
                <w:szCs w:val="18"/>
                <w:highlight w:val="none"/>
              </w:rPr>
              <w:t>元以下的罚款，对个人处以</w:t>
            </w:r>
            <w:r>
              <w:rPr>
                <w:rFonts w:hint="default" w:ascii="Times New Roman" w:hAnsi="Times New Roman" w:cs="Times New Roman" w:eastAsiaTheme="minorEastAsia"/>
                <w:color w:val="auto"/>
                <w:kern w:val="0"/>
                <w:sz w:val="18"/>
                <w:szCs w:val="18"/>
                <w:highlight w:val="none"/>
                <w:lang w:val="en-US" w:eastAsia="zh-CN"/>
              </w:rPr>
              <w:t>30</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restart"/>
            <w:shd w:val="clear" w:color="auto" w:fill="auto"/>
            <w:tcMar>
              <w:top w:w="15" w:type="dxa"/>
              <w:left w:w="15" w:type="dxa"/>
              <w:right w:w="15" w:type="dxa"/>
            </w:tcMar>
            <w:vAlign w:val="center"/>
          </w:tcPr>
          <w:p w14:paraId="4630EDCD">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责令其恢复原状；应当给予治安管理处罚的，依照《中华人民共和国治安管理处罚条例》的规定处罚；构成犯罪的，依法追究刑事责任</w:t>
            </w:r>
          </w:p>
          <w:p w14:paraId="4D5BFA07">
            <w:pPr>
              <w:widowControl/>
              <w:shd w:val="clear"/>
              <w:jc w:val="left"/>
              <w:textAlignment w:val="center"/>
              <w:rPr>
                <w:rFonts w:hint="default" w:ascii="Times New Roman" w:hAnsi="Times New Roman" w:cs="Times New Roman" w:eastAsiaTheme="minorEastAsia"/>
                <w:color w:val="auto"/>
                <w:sz w:val="18"/>
                <w:szCs w:val="18"/>
                <w:highlight w:val="none"/>
              </w:rPr>
            </w:pPr>
          </w:p>
          <w:p w14:paraId="79B01294">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2B60739B">
            <w:pPr>
              <w:shd w:val="clear"/>
              <w:jc w:val="left"/>
              <w:rPr>
                <w:rFonts w:hint="default" w:ascii="Times New Roman" w:hAnsi="Times New Roman" w:cs="Times New Roman" w:eastAsiaTheme="minorEastAsia"/>
                <w:color w:val="auto"/>
                <w:sz w:val="18"/>
                <w:szCs w:val="18"/>
                <w:highlight w:val="none"/>
                <w:lang w:val="en-US" w:eastAsia="zh-CN"/>
              </w:rPr>
            </w:pPr>
          </w:p>
        </w:tc>
      </w:tr>
      <w:tr w14:paraId="3111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3" w:hRule="atLeast"/>
        </w:trPr>
        <w:tc>
          <w:tcPr>
            <w:tcW w:w="117" w:type="pct"/>
            <w:gridSpan w:val="2"/>
            <w:vMerge w:val="continue"/>
            <w:shd w:val="clear" w:color="auto" w:fill="auto"/>
            <w:tcMar>
              <w:top w:w="15" w:type="dxa"/>
              <w:left w:w="15" w:type="dxa"/>
              <w:right w:w="15" w:type="dxa"/>
            </w:tcMar>
            <w:vAlign w:val="center"/>
          </w:tcPr>
          <w:p w14:paraId="599AED04">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39F9B320">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365958FC">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22805EB4">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13E83C4B">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3499080D">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损坏各类环境卫生设施</w:t>
            </w:r>
            <w:r>
              <w:rPr>
                <w:rFonts w:hint="default" w:ascii="Times New Roman" w:hAnsi="Times New Roman" w:cs="Times New Roman" w:eastAsiaTheme="minorEastAsia"/>
                <w:color w:val="auto"/>
                <w:kern w:val="0"/>
                <w:sz w:val="18"/>
                <w:szCs w:val="18"/>
                <w:highlight w:val="none"/>
                <w:lang w:val="en-US" w:eastAsia="zh-CN"/>
              </w:rPr>
              <w:t>2</w:t>
            </w: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5处</w:t>
            </w:r>
            <w:r>
              <w:rPr>
                <w:rFonts w:hint="default" w:ascii="Times New Roman" w:hAnsi="Times New Roman" w:cs="Times New Roman" w:eastAsiaTheme="minorEastAsia"/>
                <w:color w:val="auto"/>
                <w:kern w:val="0"/>
                <w:sz w:val="18"/>
                <w:szCs w:val="18"/>
                <w:highlight w:val="none"/>
                <w:lang w:eastAsia="zh-CN"/>
              </w:rPr>
              <w:t>以下；</w:t>
            </w:r>
          </w:p>
          <w:p w14:paraId="73EC2E8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环境卫生设施及其附属设施造价500元</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lang w:val="en-US" w:eastAsia="zh-CN"/>
              </w:rPr>
              <w:t>2000元以下</w:t>
            </w:r>
          </w:p>
        </w:tc>
        <w:tc>
          <w:tcPr>
            <w:tcW w:w="545" w:type="pct"/>
            <w:gridSpan w:val="2"/>
            <w:shd w:val="clear" w:color="auto" w:fill="auto"/>
            <w:tcMar>
              <w:top w:w="15" w:type="dxa"/>
              <w:left w:w="15" w:type="dxa"/>
              <w:right w:w="15" w:type="dxa"/>
            </w:tcMar>
            <w:vAlign w:val="center"/>
          </w:tcPr>
          <w:p w14:paraId="4A2947A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并可对单位处以</w:t>
            </w:r>
            <w:r>
              <w:rPr>
                <w:rFonts w:hint="default" w:ascii="Times New Roman" w:hAnsi="Times New Roman" w:cs="Times New Roman" w:eastAsiaTheme="minorEastAsia"/>
                <w:color w:val="auto"/>
                <w:kern w:val="0"/>
                <w:sz w:val="18"/>
                <w:szCs w:val="18"/>
                <w:highlight w:val="none"/>
                <w:lang w:val="en-US" w:eastAsia="zh-CN"/>
              </w:rPr>
              <w:t>1850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3650</w:t>
            </w:r>
            <w:r>
              <w:rPr>
                <w:rFonts w:hint="default" w:ascii="Times New Roman" w:hAnsi="Times New Roman" w:cs="Times New Roman" w:eastAsiaTheme="minorEastAsia"/>
                <w:color w:val="auto"/>
                <w:kern w:val="0"/>
                <w:sz w:val="18"/>
                <w:szCs w:val="18"/>
                <w:highlight w:val="none"/>
              </w:rPr>
              <w:t>元以下的罚款，对个人处以</w:t>
            </w:r>
            <w:r>
              <w:rPr>
                <w:rFonts w:hint="default" w:ascii="Times New Roman" w:hAnsi="Times New Roman" w:cs="Times New Roman" w:eastAsiaTheme="minorEastAsia"/>
                <w:color w:val="auto"/>
                <w:kern w:val="0"/>
                <w:sz w:val="18"/>
                <w:szCs w:val="18"/>
                <w:highlight w:val="none"/>
                <w:lang w:val="en-US" w:eastAsia="zh-CN"/>
              </w:rPr>
              <w:t>30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70</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7692ADE8">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72A16067">
            <w:pPr>
              <w:shd w:val="clear"/>
              <w:jc w:val="left"/>
              <w:rPr>
                <w:rFonts w:hint="default" w:ascii="Times New Roman" w:hAnsi="Times New Roman" w:cs="Times New Roman" w:eastAsiaTheme="minorEastAsia"/>
                <w:color w:val="auto"/>
                <w:sz w:val="18"/>
                <w:szCs w:val="18"/>
                <w:highlight w:val="none"/>
              </w:rPr>
            </w:pPr>
          </w:p>
        </w:tc>
      </w:tr>
      <w:tr w14:paraId="45A3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7" w:type="pct"/>
            <w:gridSpan w:val="2"/>
            <w:vMerge w:val="continue"/>
            <w:shd w:val="clear" w:color="auto" w:fill="auto"/>
            <w:tcMar>
              <w:top w:w="15" w:type="dxa"/>
              <w:left w:w="15" w:type="dxa"/>
              <w:right w:w="15" w:type="dxa"/>
            </w:tcMar>
            <w:vAlign w:val="center"/>
          </w:tcPr>
          <w:p w14:paraId="25779AFB">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55E9D940">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416A43BA">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15E4145A">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0D931307">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34CFEBC6">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损坏各类环境卫生设施5处</w:t>
            </w:r>
            <w:r>
              <w:rPr>
                <w:rFonts w:hint="default" w:ascii="Times New Roman" w:hAnsi="Times New Roman" w:cs="Times New Roman" w:eastAsiaTheme="minorEastAsia"/>
                <w:color w:val="auto"/>
                <w:kern w:val="0"/>
                <w:sz w:val="18"/>
                <w:szCs w:val="18"/>
                <w:highlight w:val="none"/>
                <w:lang w:eastAsia="zh-CN"/>
              </w:rPr>
              <w:t>以上；</w:t>
            </w:r>
          </w:p>
          <w:p w14:paraId="7FBDA293">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环境卫生设施及其附属设施造价</w:t>
            </w:r>
            <w:r>
              <w:rPr>
                <w:rFonts w:hint="default" w:ascii="Times New Roman" w:hAnsi="Times New Roman" w:cs="Times New Roman" w:eastAsiaTheme="minorEastAsia"/>
                <w:color w:val="auto"/>
                <w:kern w:val="0"/>
                <w:sz w:val="18"/>
                <w:szCs w:val="18"/>
                <w:highlight w:val="none"/>
                <w:lang w:val="en-US" w:eastAsia="zh-CN"/>
              </w:rPr>
              <w:t>2000元以上</w:t>
            </w:r>
          </w:p>
        </w:tc>
        <w:tc>
          <w:tcPr>
            <w:tcW w:w="545" w:type="pct"/>
            <w:gridSpan w:val="2"/>
            <w:shd w:val="clear" w:color="auto" w:fill="auto"/>
            <w:tcMar>
              <w:top w:w="15" w:type="dxa"/>
              <w:left w:w="15" w:type="dxa"/>
              <w:right w:w="15" w:type="dxa"/>
            </w:tcMar>
            <w:vAlign w:val="center"/>
          </w:tcPr>
          <w:p w14:paraId="657E378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并可对单位处以</w:t>
            </w:r>
            <w:r>
              <w:rPr>
                <w:rFonts w:hint="default" w:ascii="Times New Roman" w:hAnsi="Times New Roman" w:cs="Times New Roman" w:eastAsiaTheme="minorEastAsia"/>
                <w:color w:val="auto"/>
                <w:kern w:val="0"/>
                <w:sz w:val="18"/>
                <w:szCs w:val="18"/>
                <w:highlight w:val="none"/>
                <w:lang w:val="en-US" w:eastAsia="zh-CN"/>
              </w:rPr>
              <w:t>3650</w:t>
            </w:r>
            <w:r>
              <w:rPr>
                <w:rFonts w:hint="default" w:ascii="Times New Roman" w:hAnsi="Times New Roman" w:cs="Times New Roman" w:eastAsiaTheme="minorEastAsia"/>
                <w:color w:val="auto"/>
                <w:kern w:val="0"/>
                <w:sz w:val="18"/>
                <w:szCs w:val="18"/>
                <w:highlight w:val="none"/>
              </w:rPr>
              <w:t>元以上5000元以下的罚款，对个人处以</w:t>
            </w:r>
            <w:r>
              <w:rPr>
                <w:rFonts w:hint="default" w:ascii="Times New Roman" w:hAnsi="Times New Roman" w:cs="Times New Roman" w:eastAsiaTheme="minorEastAsia"/>
                <w:color w:val="auto"/>
                <w:kern w:val="0"/>
                <w:sz w:val="18"/>
                <w:szCs w:val="18"/>
                <w:highlight w:val="none"/>
                <w:lang w:val="en-US" w:eastAsia="zh-CN"/>
              </w:rPr>
              <w:t>70</w:t>
            </w:r>
            <w:r>
              <w:rPr>
                <w:rFonts w:hint="default" w:ascii="Times New Roman" w:hAnsi="Times New Roman" w:cs="Times New Roman" w:eastAsiaTheme="minorEastAsia"/>
                <w:color w:val="auto"/>
                <w:kern w:val="0"/>
                <w:sz w:val="18"/>
                <w:szCs w:val="18"/>
                <w:highlight w:val="none"/>
              </w:rPr>
              <w:t>元以上100元以下的罚款</w:t>
            </w:r>
          </w:p>
        </w:tc>
        <w:tc>
          <w:tcPr>
            <w:tcW w:w="200" w:type="pct"/>
            <w:gridSpan w:val="2"/>
            <w:vMerge w:val="continue"/>
            <w:shd w:val="clear" w:color="auto" w:fill="auto"/>
            <w:tcMar>
              <w:top w:w="15" w:type="dxa"/>
              <w:left w:w="15" w:type="dxa"/>
              <w:right w:w="15" w:type="dxa"/>
            </w:tcMar>
            <w:vAlign w:val="center"/>
          </w:tcPr>
          <w:p w14:paraId="1DA44072">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5E454EFE">
            <w:pPr>
              <w:shd w:val="clear"/>
              <w:jc w:val="left"/>
              <w:rPr>
                <w:rFonts w:hint="default" w:ascii="Times New Roman" w:hAnsi="Times New Roman" w:cs="Times New Roman" w:eastAsiaTheme="minorEastAsia"/>
                <w:color w:val="auto"/>
                <w:sz w:val="18"/>
                <w:szCs w:val="18"/>
                <w:highlight w:val="none"/>
              </w:rPr>
            </w:pPr>
          </w:p>
        </w:tc>
      </w:tr>
      <w:tr w14:paraId="7EBE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0" w:hRule="atLeast"/>
        </w:trPr>
        <w:tc>
          <w:tcPr>
            <w:tcW w:w="117" w:type="pct"/>
            <w:gridSpan w:val="2"/>
            <w:vMerge w:val="restart"/>
            <w:shd w:val="clear" w:color="auto" w:fill="auto"/>
            <w:tcMar>
              <w:top w:w="15" w:type="dxa"/>
              <w:left w:w="15" w:type="dxa"/>
              <w:right w:w="15" w:type="dxa"/>
            </w:tcMar>
            <w:vAlign w:val="center"/>
          </w:tcPr>
          <w:p w14:paraId="43D8C65A">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13</w:t>
            </w:r>
          </w:p>
        </w:tc>
        <w:tc>
          <w:tcPr>
            <w:tcW w:w="411" w:type="pct"/>
            <w:gridSpan w:val="2"/>
            <w:vMerge w:val="restart"/>
            <w:shd w:val="clear" w:color="auto" w:fill="auto"/>
            <w:tcMar>
              <w:top w:w="15" w:type="dxa"/>
              <w:left w:w="15" w:type="dxa"/>
              <w:right w:w="15" w:type="dxa"/>
            </w:tcMar>
            <w:vAlign w:val="center"/>
          </w:tcPr>
          <w:p w14:paraId="535985FD">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擅自关闭、闲置或者拆除生活垃圾处理设施、场所</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30FBDBA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中华人民共和国固体废物污染环境防治法》第五十五条第三款：“禁止擅自关闭、闲置或者拆除生活垃圾处理设施、场所；确有必要关闭、闲置或者拆除的，应当经所在地的市、县级人民政府环境卫生主管部门商所在地生态环境主管部门同意后核准，并采取防止污染环境的措施。”</w:t>
            </w:r>
          </w:p>
        </w:tc>
        <w:tc>
          <w:tcPr>
            <w:tcW w:w="1314" w:type="pct"/>
            <w:gridSpan w:val="2"/>
            <w:vMerge w:val="restart"/>
            <w:shd w:val="clear" w:color="auto" w:fill="auto"/>
            <w:tcMar>
              <w:top w:w="15" w:type="dxa"/>
              <w:left w:w="15" w:type="dxa"/>
              <w:right w:w="15" w:type="dxa"/>
            </w:tcMar>
            <w:vAlign w:val="center"/>
          </w:tcPr>
          <w:p w14:paraId="644674D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中华人民共和国固体废物污染环境防治法》第一百一十一条:“违反本法规定，有下列行为之一，由县级以上地方人民政府环境卫生主管部门责令改正，处以罚款，没收违法所得：（二）擅自关闭、闲置或者拆除生活垃圾处理设施、场所的；”“......单位有前款第二项、第三项、第四项、第五项、第六项行为之一，处十万元以上一百万元以下的罚款；......”</w:t>
            </w:r>
          </w:p>
        </w:tc>
        <w:tc>
          <w:tcPr>
            <w:tcW w:w="177" w:type="pct"/>
            <w:gridSpan w:val="2"/>
            <w:shd w:val="clear" w:color="auto" w:fill="auto"/>
            <w:tcMar>
              <w:top w:w="15" w:type="dxa"/>
              <w:left w:w="15" w:type="dxa"/>
              <w:right w:w="15" w:type="dxa"/>
            </w:tcMar>
            <w:vAlign w:val="center"/>
          </w:tcPr>
          <w:p w14:paraId="09E8CF80">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6DA5137E">
            <w:pPr>
              <w:widowControl/>
              <w:shd w:val="clear"/>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擅自关闭、闲置或者拆除</w:t>
            </w:r>
            <w:r>
              <w:rPr>
                <w:rFonts w:hint="default" w:ascii="Times New Roman" w:hAnsi="Times New Roman" w:cs="Times New Roman" w:eastAsiaTheme="minorEastAsia"/>
                <w:color w:val="auto"/>
                <w:kern w:val="0"/>
                <w:sz w:val="18"/>
                <w:szCs w:val="18"/>
                <w:highlight w:val="none"/>
                <w:lang w:val="en-US" w:eastAsia="zh-CN"/>
              </w:rPr>
              <w:t>1处</w:t>
            </w:r>
            <w:r>
              <w:rPr>
                <w:rFonts w:hint="default" w:ascii="Times New Roman" w:hAnsi="Times New Roman" w:cs="Times New Roman" w:eastAsiaTheme="minorEastAsia"/>
                <w:color w:val="auto"/>
                <w:kern w:val="0"/>
                <w:sz w:val="18"/>
                <w:szCs w:val="18"/>
                <w:highlight w:val="none"/>
              </w:rPr>
              <w:t>生活垃圾处理设施、场所</w:t>
            </w:r>
            <w:r>
              <w:rPr>
                <w:rFonts w:hint="default" w:ascii="Times New Roman" w:hAnsi="Times New Roman" w:cs="Times New Roman" w:eastAsiaTheme="minorEastAsia"/>
                <w:color w:val="auto"/>
                <w:kern w:val="0"/>
                <w:sz w:val="18"/>
                <w:szCs w:val="18"/>
                <w:highlight w:val="none"/>
                <w:lang w:eastAsia="zh-CN"/>
              </w:rPr>
              <w:t>；</w:t>
            </w:r>
          </w:p>
          <w:p w14:paraId="3E0212E3">
            <w:pPr>
              <w:widowControl/>
              <w:shd w:val="clea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擅自关闭、闲置或者拆除生活垃圾处理设施、场所1个月</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18A68CA8">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没收违法所得，</w:t>
            </w: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37万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restart"/>
            <w:shd w:val="clear" w:color="auto" w:fill="auto"/>
            <w:tcMar>
              <w:top w:w="15" w:type="dxa"/>
              <w:left w:w="15" w:type="dxa"/>
              <w:right w:w="15" w:type="dxa"/>
            </w:tcMar>
            <w:vAlign w:val="center"/>
          </w:tcPr>
          <w:p w14:paraId="36CE64A2">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责令改正</w:t>
            </w:r>
          </w:p>
          <w:p w14:paraId="79BC0D37">
            <w:pPr>
              <w:widowControl/>
              <w:shd w:val="clear"/>
              <w:jc w:val="center"/>
              <w:textAlignment w:val="center"/>
              <w:rPr>
                <w:rFonts w:hint="default" w:ascii="Times New Roman" w:hAnsi="Times New Roman" w:cs="Times New Roman" w:eastAsiaTheme="minorEastAsia"/>
                <w:color w:val="auto"/>
                <w:sz w:val="18"/>
                <w:szCs w:val="18"/>
                <w:highlight w:val="none"/>
              </w:rPr>
            </w:pPr>
          </w:p>
          <w:p w14:paraId="026B1324">
            <w:pPr>
              <w:widowControl/>
              <w:shd w:val="clear"/>
              <w:jc w:val="center"/>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3758947E">
            <w:pPr>
              <w:shd w:val="clear"/>
              <w:jc w:val="center"/>
              <w:rPr>
                <w:rFonts w:hint="default" w:ascii="Times New Roman" w:hAnsi="Times New Roman" w:cs="Times New Roman" w:eastAsiaTheme="minorEastAsia"/>
                <w:color w:val="auto"/>
                <w:sz w:val="18"/>
                <w:szCs w:val="18"/>
                <w:highlight w:val="none"/>
                <w:lang w:val="en-US" w:eastAsia="zh-CN"/>
              </w:rPr>
            </w:pPr>
          </w:p>
        </w:tc>
      </w:tr>
      <w:tr w14:paraId="3FE9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9" w:hRule="atLeast"/>
        </w:trPr>
        <w:tc>
          <w:tcPr>
            <w:tcW w:w="117" w:type="pct"/>
            <w:gridSpan w:val="2"/>
            <w:vMerge w:val="continue"/>
            <w:shd w:val="clear" w:color="auto" w:fill="auto"/>
            <w:tcMar>
              <w:top w:w="15" w:type="dxa"/>
              <w:left w:w="15" w:type="dxa"/>
              <w:right w:w="15" w:type="dxa"/>
            </w:tcMar>
            <w:vAlign w:val="center"/>
          </w:tcPr>
          <w:p w14:paraId="1937D0D7">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68B113FC">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3AA1A2C4">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04A34C25">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71967EA8">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7333DD95">
            <w:pPr>
              <w:widowControl/>
              <w:shd w:val="clear"/>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擅自关闭、闲置或者拆除生活垃圾处理设施、场所2处</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5处</w:t>
            </w:r>
            <w:r>
              <w:rPr>
                <w:rFonts w:hint="default" w:ascii="Times New Roman" w:hAnsi="Times New Roman" w:cs="Times New Roman" w:eastAsiaTheme="minorEastAsia"/>
                <w:color w:val="auto"/>
                <w:kern w:val="0"/>
                <w:sz w:val="18"/>
                <w:szCs w:val="18"/>
                <w:highlight w:val="none"/>
                <w:lang w:eastAsia="zh-CN"/>
              </w:rPr>
              <w:t>以下；</w:t>
            </w:r>
          </w:p>
          <w:p w14:paraId="2C283C53">
            <w:pPr>
              <w:widowControl/>
              <w:shd w:val="clea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擅自关闭、闲置或者拆除生活垃圾处理设施、场所1个月</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2个月</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6A601E9A">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没收违法所得，</w:t>
            </w: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37万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73万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0319F09E">
            <w:pPr>
              <w:widowControl/>
              <w:shd w:val="clear"/>
              <w:jc w:val="center"/>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41ECFCD3">
            <w:pPr>
              <w:shd w:val="clear"/>
              <w:jc w:val="center"/>
              <w:rPr>
                <w:rFonts w:hint="default" w:ascii="Times New Roman" w:hAnsi="Times New Roman" w:cs="Times New Roman" w:eastAsiaTheme="minorEastAsia"/>
                <w:color w:val="auto"/>
                <w:sz w:val="18"/>
                <w:szCs w:val="18"/>
                <w:highlight w:val="none"/>
              </w:rPr>
            </w:pPr>
          </w:p>
        </w:tc>
      </w:tr>
      <w:tr w14:paraId="677F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3" w:hRule="atLeast"/>
        </w:trPr>
        <w:tc>
          <w:tcPr>
            <w:tcW w:w="117" w:type="pct"/>
            <w:gridSpan w:val="2"/>
            <w:vMerge w:val="continue"/>
            <w:shd w:val="clear" w:color="auto" w:fill="auto"/>
            <w:tcMar>
              <w:top w:w="15" w:type="dxa"/>
              <w:left w:w="15" w:type="dxa"/>
              <w:right w:w="15" w:type="dxa"/>
            </w:tcMar>
            <w:vAlign w:val="center"/>
          </w:tcPr>
          <w:p w14:paraId="776992C7">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1755CF4F">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4D5C127A">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1A564188">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19080CCF">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02DFA478">
            <w:pPr>
              <w:widowControl/>
              <w:shd w:val="clear"/>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擅自关闭、闲置或者拆除生活垃圾处理设施、场所5处</w:t>
            </w:r>
            <w:r>
              <w:rPr>
                <w:rFonts w:hint="default" w:ascii="Times New Roman" w:hAnsi="Times New Roman" w:cs="Times New Roman" w:eastAsiaTheme="minorEastAsia"/>
                <w:color w:val="auto"/>
                <w:kern w:val="0"/>
                <w:sz w:val="18"/>
                <w:szCs w:val="18"/>
                <w:highlight w:val="none"/>
                <w:lang w:eastAsia="zh-CN"/>
              </w:rPr>
              <w:t>以上；</w:t>
            </w:r>
          </w:p>
          <w:p w14:paraId="700D786F">
            <w:pPr>
              <w:widowControl/>
              <w:shd w:val="clea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擅自关闭、闲置或者拆除生活垃圾处理设施、场所2个月</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5DAD7D4D">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没收违法所得，</w:t>
            </w: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73万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100万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6981B634">
            <w:pPr>
              <w:widowControl/>
              <w:shd w:val="clear"/>
              <w:jc w:val="center"/>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21DB2F96">
            <w:pPr>
              <w:shd w:val="clear"/>
              <w:jc w:val="center"/>
              <w:rPr>
                <w:rFonts w:hint="default" w:ascii="Times New Roman" w:hAnsi="Times New Roman" w:cs="Times New Roman" w:eastAsiaTheme="minorEastAsia"/>
                <w:color w:val="auto"/>
                <w:sz w:val="18"/>
                <w:szCs w:val="18"/>
                <w:highlight w:val="none"/>
              </w:rPr>
            </w:pPr>
          </w:p>
        </w:tc>
      </w:tr>
      <w:tr w14:paraId="045A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3" w:hRule="atLeast"/>
        </w:trPr>
        <w:tc>
          <w:tcPr>
            <w:tcW w:w="117" w:type="pct"/>
            <w:gridSpan w:val="2"/>
            <w:vMerge w:val="restart"/>
            <w:shd w:val="clear" w:color="auto" w:fill="auto"/>
            <w:tcMar>
              <w:top w:w="15" w:type="dxa"/>
              <w:left w:w="15" w:type="dxa"/>
              <w:right w:w="15" w:type="dxa"/>
            </w:tcMar>
            <w:vAlign w:val="center"/>
          </w:tcPr>
          <w:p w14:paraId="5752D045">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14</w:t>
            </w:r>
          </w:p>
        </w:tc>
        <w:tc>
          <w:tcPr>
            <w:tcW w:w="411" w:type="pct"/>
            <w:gridSpan w:val="2"/>
            <w:vMerge w:val="restart"/>
            <w:shd w:val="clear" w:color="auto" w:fill="auto"/>
            <w:tcMar>
              <w:top w:w="15" w:type="dxa"/>
              <w:left w:w="15" w:type="dxa"/>
              <w:right w:w="15" w:type="dxa"/>
            </w:tcMar>
            <w:vAlign w:val="center"/>
          </w:tcPr>
          <w:p w14:paraId="67D1547A">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擅自拆除、迁移公共厕所、化粪池等除生活垃圾集中转运、处置设施以外的环境卫生设施，或者未按批准的方案拆除、迁移环境卫生设施</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73D5F947">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br w:type="textWrapping"/>
            </w:r>
          </w:p>
          <w:p w14:paraId="1E6B297E">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1.《城市市容和环境卫生管理条例》第二十二条：“一切单位和个人都不得擅自拆除环境卫生设施；因建设需要必须拆除的，建设单位必须事先提出拆迁方案，报城市人民政府市容环境卫生行政主管部门批准。”</w:t>
            </w:r>
          </w:p>
          <w:p w14:paraId="29533FA2">
            <w:pPr>
              <w:widowControl/>
              <w:shd w:val="clear"/>
              <w:ind w:firstLine="0" w:firstLineChars="0"/>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2.《东莞市环境卫生管理规定》第十五条：“任何单位和个人不得损坏或者擅自拆除、迁移环境卫生设施。因城市建设确需拆除、迁移环境卫生设施的，建设单位应当事先提出拆除、迁移方案，报市环境卫生主管部门批准后实施。环境卫生设施需要补建的，应当先行补建，补建验收合格后方可拆除。”</w:t>
            </w:r>
          </w:p>
        </w:tc>
        <w:tc>
          <w:tcPr>
            <w:tcW w:w="1314" w:type="pct"/>
            <w:gridSpan w:val="2"/>
            <w:vMerge w:val="restart"/>
            <w:shd w:val="clear" w:color="auto" w:fill="auto"/>
            <w:tcMar>
              <w:top w:w="15" w:type="dxa"/>
              <w:left w:w="15" w:type="dxa"/>
              <w:right w:w="15" w:type="dxa"/>
            </w:tcMar>
            <w:vAlign w:val="center"/>
          </w:tcPr>
          <w:p w14:paraId="659572F1">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1.《城市市容和环境卫生管理条例》第三十六条</w:t>
            </w:r>
            <w:r>
              <w:rPr>
                <w:rFonts w:hint="default" w:ascii="Times New Roman" w:hAnsi="Times New Roman" w:cs="Times New Roman" w:eastAsiaTheme="minorEastAsia"/>
                <w:color w:val="auto"/>
                <w:kern w:val="0"/>
                <w:sz w:val="18"/>
                <w:szCs w:val="18"/>
                <w:highlight w:val="none"/>
                <w:lang w:eastAsia="zh-CN"/>
              </w:rPr>
              <w:t>第三项</w:t>
            </w:r>
            <w:r>
              <w:rPr>
                <w:rFonts w:hint="default" w:ascii="Times New Roman" w:hAnsi="Times New Roman" w:cs="Times New Roman" w:eastAsiaTheme="minorEastAsia"/>
                <w:color w:val="auto"/>
                <w:kern w:val="0"/>
                <w:sz w:val="18"/>
                <w:szCs w:val="18"/>
                <w:highlight w:val="none"/>
              </w:rPr>
              <w:t>：“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w:t>
            </w:r>
          </w:p>
          <w:p w14:paraId="4FBE2F97">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2.《东莞市环境卫生管理规定》第五十条</w:t>
            </w:r>
            <w:r>
              <w:rPr>
                <w:rFonts w:hint="default" w:ascii="Times New Roman" w:hAnsi="Times New Roman" w:cs="Times New Roman" w:eastAsiaTheme="minorEastAsia"/>
                <w:color w:val="auto"/>
                <w:kern w:val="0"/>
                <w:sz w:val="18"/>
                <w:szCs w:val="18"/>
                <w:highlight w:val="none"/>
                <w:lang w:eastAsia="zh-CN"/>
              </w:rPr>
              <w:t>第一款第三项</w:t>
            </w:r>
            <w:r>
              <w:rPr>
                <w:rFonts w:hint="default" w:ascii="Times New Roman" w:hAnsi="Times New Roman" w:cs="Times New Roman" w:eastAsiaTheme="minorEastAsia"/>
                <w:color w:val="auto"/>
                <w:kern w:val="0"/>
                <w:sz w:val="18"/>
                <w:szCs w:val="18"/>
                <w:highlight w:val="none"/>
              </w:rPr>
              <w:t xml:space="preserve">：“ 违反本规定有关环境卫生设施规划与建设管理规定的，由环境卫生主管部门按下列规定予以处罚：（三）违反第十五条规定，......；擅自拆除、迁移公共厕所、化粪池等除生活垃圾集中转运、处置设施以外的环境卫生设施，或者未按批准的方案拆除、迁移环境卫生设施的，根据《城市市容和环境卫生管理条例》第三十六条规定，责令停止违法行为，限期改正，并可对单位处以5万元以下的罚款，对个人处以100元以下的罚款。” </w:t>
            </w:r>
          </w:p>
        </w:tc>
        <w:tc>
          <w:tcPr>
            <w:tcW w:w="177" w:type="pct"/>
            <w:gridSpan w:val="2"/>
            <w:shd w:val="clear" w:color="auto" w:fill="auto"/>
            <w:tcMar>
              <w:top w:w="15" w:type="dxa"/>
              <w:left w:w="15" w:type="dxa"/>
              <w:right w:w="15" w:type="dxa"/>
            </w:tcMar>
            <w:vAlign w:val="center"/>
          </w:tcPr>
          <w:p w14:paraId="14E5886E">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11B55578">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未经批准</w:t>
            </w:r>
            <w:r>
              <w:rPr>
                <w:rFonts w:hint="default" w:ascii="Times New Roman" w:hAnsi="Times New Roman" w:cs="Times New Roman" w:eastAsiaTheme="minorEastAsia"/>
                <w:color w:val="auto"/>
                <w:kern w:val="0"/>
                <w:sz w:val="18"/>
                <w:szCs w:val="18"/>
                <w:highlight w:val="none"/>
                <w:lang w:eastAsia="zh-CN"/>
              </w:rPr>
              <w:t>或者未按批准的方案</w:t>
            </w:r>
            <w:r>
              <w:rPr>
                <w:rFonts w:hint="default" w:ascii="Times New Roman" w:hAnsi="Times New Roman" w:cs="Times New Roman" w:eastAsiaTheme="minorEastAsia"/>
                <w:color w:val="auto"/>
                <w:kern w:val="0"/>
                <w:sz w:val="18"/>
                <w:szCs w:val="18"/>
                <w:highlight w:val="none"/>
              </w:rPr>
              <w:t>拆除</w:t>
            </w:r>
            <w:r>
              <w:rPr>
                <w:rFonts w:hint="default" w:ascii="Times New Roman" w:hAnsi="Times New Roman" w:cs="Times New Roman" w:eastAsiaTheme="minorEastAsia"/>
                <w:color w:val="auto"/>
                <w:kern w:val="0"/>
                <w:sz w:val="18"/>
                <w:szCs w:val="18"/>
                <w:highlight w:val="none"/>
                <w:lang w:eastAsia="zh-CN"/>
              </w:rPr>
              <w:t>、迁移</w:t>
            </w:r>
            <w:r>
              <w:rPr>
                <w:rFonts w:hint="default" w:ascii="Times New Roman" w:hAnsi="Times New Roman" w:cs="Times New Roman" w:eastAsiaTheme="minorEastAsia"/>
                <w:color w:val="auto"/>
                <w:kern w:val="0"/>
                <w:sz w:val="18"/>
                <w:szCs w:val="18"/>
                <w:highlight w:val="none"/>
              </w:rPr>
              <w:t>环境卫生设施</w:t>
            </w:r>
            <w:r>
              <w:rPr>
                <w:rFonts w:hint="default" w:ascii="Times New Roman" w:hAnsi="Times New Roman" w:cs="Times New Roman" w:eastAsiaTheme="minorEastAsia"/>
                <w:color w:val="auto"/>
                <w:kern w:val="0"/>
                <w:sz w:val="18"/>
                <w:szCs w:val="18"/>
                <w:highlight w:val="none"/>
                <w:lang w:val="en-US" w:eastAsia="zh-CN"/>
              </w:rPr>
              <w:t>1</w:t>
            </w: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eastAsia="zh-CN"/>
              </w:rPr>
              <w:t>；</w:t>
            </w:r>
          </w:p>
          <w:p w14:paraId="345FAC5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原环境卫生设施造价</w:t>
            </w:r>
            <w:r>
              <w:rPr>
                <w:rFonts w:hint="default" w:ascii="Times New Roman" w:hAnsi="Times New Roman" w:cs="Times New Roman" w:eastAsiaTheme="minorEastAsia"/>
                <w:color w:val="auto"/>
                <w:kern w:val="0"/>
                <w:sz w:val="18"/>
                <w:szCs w:val="18"/>
                <w:highlight w:val="none"/>
                <w:lang w:val="en-US" w:eastAsia="zh-CN"/>
              </w:rPr>
              <w:t>500元以下</w:t>
            </w:r>
          </w:p>
        </w:tc>
        <w:tc>
          <w:tcPr>
            <w:tcW w:w="545" w:type="pct"/>
            <w:gridSpan w:val="2"/>
            <w:shd w:val="clear" w:color="auto" w:fill="auto"/>
            <w:tcMar>
              <w:top w:w="15" w:type="dxa"/>
              <w:left w:w="15" w:type="dxa"/>
              <w:right w:w="15" w:type="dxa"/>
            </w:tcMar>
            <w:vAlign w:val="center"/>
          </w:tcPr>
          <w:p w14:paraId="4EABAD9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可对单位处</w:t>
            </w:r>
            <w:r>
              <w:rPr>
                <w:rFonts w:hint="default" w:ascii="Times New Roman" w:hAnsi="Times New Roman" w:cs="Times New Roman" w:eastAsiaTheme="minorEastAsia"/>
                <w:color w:val="auto"/>
                <w:kern w:val="0"/>
                <w:sz w:val="18"/>
                <w:szCs w:val="18"/>
                <w:highlight w:val="none"/>
                <w:lang w:val="en-US"/>
              </w:rPr>
              <w:t>1.5万</w:t>
            </w:r>
            <w:r>
              <w:rPr>
                <w:rFonts w:hint="default" w:ascii="Times New Roman" w:hAnsi="Times New Roman" w:cs="Times New Roman" w:eastAsiaTheme="minorEastAsia"/>
                <w:color w:val="auto"/>
                <w:kern w:val="0"/>
                <w:sz w:val="18"/>
                <w:szCs w:val="18"/>
                <w:highlight w:val="none"/>
              </w:rPr>
              <w:t>元以下的罚款，对个人处30元以下的罚款</w:t>
            </w:r>
          </w:p>
        </w:tc>
        <w:tc>
          <w:tcPr>
            <w:tcW w:w="200" w:type="pct"/>
            <w:gridSpan w:val="2"/>
            <w:vMerge w:val="restart"/>
            <w:shd w:val="clear" w:color="auto" w:fill="auto"/>
            <w:tcMar>
              <w:top w:w="15" w:type="dxa"/>
              <w:left w:w="15" w:type="dxa"/>
              <w:right w:w="15" w:type="dxa"/>
            </w:tcMar>
            <w:vAlign w:val="center"/>
          </w:tcPr>
          <w:p w14:paraId="551DA8B6">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责令停止违法行为，限期改正</w:t>
            </w:r>
          </w:p>
          <w:p w14:paraId="69DE8D65">
            <w:pPr>
              <w:widowControl/>
              <w:shd w:val="clear"/>
              <w:jc w:val="left"/>
              <w:textAlignment w:val="center"/>
              <w:rPr>
                <w:rFonts w:hint="default" w:ascii="Times New Roman" w:hAnsi="Times New Roman" w:cs="Times New Roman" w:eastAsiaTheme="minorEastAsia"/>
                <w:color w:val="auto"/>
                <w:sz w:val="18"/>
                <w:szCs w:val="18"/>
                <w:highlight w:val="none"/>
              </w:rPr>
            </w:pPr>
          </w:p>
          <w:p w14:paraId="216CF049">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35A20CE5">
            <w:pPr>
              <w:shd w:val="clear"/>
              <w:jc w:val="left"/>
              <w:rPr>
                <w:rFonts w:hint="default" w:ascii="Times New Roman" w:hAnsi="Times New Roman" w:cs="Times New Roman" w:eastAsiaTheme="minorEastAsia"/>
                <w:color w:val="auto"/>
                <w:sz w:val="18"/>
                <w:szCs w:val="18"/>
                <w:highlight w:val="none"/>
                <w:lang w:val="en-US" w:eastAsia="zh-CN"/>
              </w:rPr>
            </w:pPr>
          </w:p>
        </w:tc>
      </w:tr>
      <w:tr w14:paraId="52B4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6" w:hRule="atLeast"/>
        </w:trPr>
        <w:tc>
          <w:tcPr>
            <w:tcW w:w="117" w:type="pct"/>
            <w:gridSpan w:val="2"/>
            <w:vMerge w:val="continue"/>
            <w:shd w:val="clear" w:color="auto" w:fill="auto"/>
            <w:tcMar>
              <w:top w:w="15" w:type="dxa"/>
              <w:left w:w="15" w:type="dxa"/>
              <w:right w:w="15" w:type="dxa"/>
            </w:tcMar>
            <w:vAlign w:val="center"/>
          </w:tcPr>
          <w:p w14:paraId="6939797F">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0518D05E">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332A6FDB">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181B9FBD">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1BE11462">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664A328D">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未经批准</w:t>
            </w:r>
            <w:r>
              <w:rPr>
                <w:rFonts w:hint="default" w:ascii="Times New Roman" w:hAnsi="Times New Roman" w:cs="Times New Roman" w:eastAsiaTheme="minorEastAsia"/>
                <w:color w:val="auto"/>
                <w:kern w:val="0"/>
                <w:sz w:val="18"/>
                <w:szCs w:val="18"/>
                <w:highlight w:val="none"/>
                <w:lang w:eastAsia="zh-CN"/>
              </w:rPr>
              <w:t>或者未按批准的方案</w:t>
            </w:r>
            <w:r>
              <w:rPr>
                <w:rFonts w:hint="default" w:ascii="Times New Roman" w:hAnsi="Times New Roman" w:cs="Times New Roman" w:eastAsiaTheme="minorEastAsia"/>
                <w:color w:val="auto"/>
                <w:kern w:val="0"/>
                <w:sz w:val="18"/>
                <w:szCs w:val="18"/>
                <w:highlight w:val="none"/>
              </w:rPr>
              <w:t>拆除</w:t>
            </w:r>
            <w:r>
              <w:rPr>
                <w:rFonts w:hint="default" w:ascii="Times New Roman" w:hAnsi="Times New Roman" w:cs="Times New Roman" w:eastAsiaTheme="minorEastAsia"/>
                <w:color w:val="auto"/>
                <w:kern w:val="0"/>
                <w:sz w:val="18"/>
                <w:szCs w:val="18"/>
                <w:highlight w:val="none"/>
                <w:lang w:eastAsia="zh-CN"/>
              </w:rPr>
              <w:t>、迁移</w:t>
            </w:r>
            <w:r>
              <w:rPr>
                <w:rFonts w:hint="default" w:ascii="Times New Roman" w:hAnsi="Times New Roman" w:cs="Times New Roman" w:eastAsiaTheme="minorEastAsia"/>
                <w:color w:val="auto"/>
                <w:kern w:val="0"/>
                <w:sz w:val="18"/>
                <w:szCs w:val="18"/>
                <w:highlight w:val="none"/>
              </w:rPr>
              <w:t>环境卫生设施2处</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5处</w:t>
            </w:r>
            <w:r>
              <w:rPr>
                <w:rFonts w:hint="default" w:ascii="Times New Roman" w:hAnsi="Times New Roman" w:cs="Times New Roman" w:eastAsiaTheme="minorEastAsia"/>
                <w:color w:val="auto"/>
                <w:kern w:val="0"/>
                <w:sz w:val="18"/>
                <w:szCs w:val="18"/>
                <w:highlight w:val="none"/>
                <w:lang w:eastAsia="zh-CN"/>
              </w:rPr>
              <w:t>以下；</w:t>
            </w:r>
          </w:p>
          <w:p w14:paraId="630D348A">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原环境卫生设施造价</w:t>
            </w:r>
            <w:r>
              <w:rPr>
                <w:rFonts w:hint="default" w:ascii="Times New Roman" w:hAnsi="Times New Roman" w:cs="Times New Roman" w:eastAsiaTheme="minorEastAsia"/>
                <w:color w:val="auto"/>
                <w:kern w:val="0"/>
                <w:sz w:val="18"/>
                <w:szCs w:val="18"/>
                <w:highlight w:val="none"/>
                <w:lang w:val="en-US" w:eastAsia="zh-CN"/>
              </w:rPr>
              <w:t>500元以上2000元以下</w:t>
            </w:r>
          </w:p>
        </w:tc>
        <w:tc>
          <w:tcPr>
            <w:tcW w:w="545" w:type="pct"/>
            <w:gridSpan w:val="2"/>
            <w:shd w:val="clear" w:color="auto" w:fill="auto"/>
            <w:tcMar>
              <w:top w:w="15" w:type="dxa"/>
              <w:left w:w="15" w:type="dxa"/>
              <w:right w:w="15" w:type="dxa"/>
            </w:tcMar>
            <w:vAlign w:val="center"/>
          </w:tcPr>
          <w:p w14:paraId="147A398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可对单位处</w:t>
            </w:r>
            <w:r>
              <w:rPr>
                <w:rFonts w:hint="default" w:ascii="Times New Roman" w:hAnsi="Times New Roman" w:cs="Times New Roman" w:eastAsiaTheme="minorEastAsia"/>
                <w:color w:val="auto"/>
                <w:kern w:val="0"/>
                <w:sz w:val="18"/>
                <w:szCs w:val="18"/>
                <w:highlight w:val="none"/>
                <w:lang w:val="en-US"/>
              </w:rPr>
              <w:t>1.5万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3.5万</w:t>
            </w:r>
            <w:r>
              <w:rPr>
                <w:rFonts w:hint="default" w:ascii="Times New Roman" w:hAnsi="Times New Roman" w:cs="Times New Roman" w:eastAsiaTheme="minorEastAsia"/>
                <w:color w:val="auto"/>
                <w:kern w:val="0"/>
                <w:sz w:val="18"/>
                <w:szCs w:val="18"/>
                <w:highlight w:val="none"/>
              </w:rPr>
              <w:t>元以下的罚款，对个人处30元以上70元以下的罚款</w:t>
            </w:r>
          </w:p>
        </w:tc>
        <w:tc>
          <w:tcPr>
            <w:tcW w:w="200" w:type="pct"/>
            <w:gridSpan w:val="2"/>
            <w:vMerge w:val="continue"/>
            <w:shd w:val="clear" w:color="auto" w:fill="auto"/>
            <w:tcMar>
              <w:top w:w="15" w:type="dxa"/>
              <w:left w:w="15" w:type="dxa"/>
              <w:right w:w="15" w:type="dxa"/>
            </w:tcMar>
            <w:vAlign w:val="center"/>
          </w:tcPr>
          <w:p w14:paraId="6871C1F9">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42A91F1B">
            <w:pPr>
              <w:shd w:val="clear"/>
              <w:jc w:val="left"/>
              <w:rPr>
                <w:rFonts w:hint="default" w:ascii="Times New Roman" w:hAnsi="Times New Roman" w:cs="Times New Roman" w:eastAsiaTheme="minorEastAsia"/>
                <w:color w:val="auto"/>
                <w:sz w:val="18"/>
                <w:szCs w:val="18"/>
                <w:highlight w:val="none"/>
              </w:rPr>
            </w:pPr>
          </w:p>
        </w:tc>
      </w:tr>
      <w:tr w14:paraId="3DEA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1" w:hRule="atLeast"/>
        </w:trPr>
        <w:tc>
          <w:tcPr>
            <w:tcW w:w="117" w:type="pct"/>
            <w:gridSpan w:val="2"/>
            <w:vMerge w:val="continue"/>
            <w:shd w:val="clear" w:color="auto" w:fill="auto"/>
            <w:tcMar>
              <w:top w:w="15" w:type="dxa"/>
              <w:left w:w="15" w:type="dxa"/>
              <w:right w:w="15" w:type="dxa"/>
            </w:tcMar>
            <w:vAlign w:val="center"/>
          </w:tcPr>
          <w:p w14:paraId="78465128">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230E84D8">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F859C8A">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4C200E45">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16AA91E1">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19E61FEB">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未经批准</w:t>
            </w:r>
            <w:r>
              <w:rPr>
                <w:rFonts w:hint="default" w:ascii="Times New Roman" w:hAnsi="Times New Roman" w:cs="Times New Roman" w:eastAsiaTheme="minorEastAsia"/>
                <w:color w:val="auto"/>
                <w:kern w:val="0"/>
                <w:sz w:val="18"/>
                <w:szCs w:val="18"/>
                <w:highlight w:val="none"/>
                <w:lang w:eastAsia="zh-CN"/>
              </w:rPr>
              <w:t>或者未按批准的方案</w:t>
            </w:r>
            <w:r>
              <w:rPr>
                <w:rFonts w:hint="default" w:ascii="Times New Roman" w:hAnsi="Times New Roman" w:cs="Times New Roman" w:eastAsiaTheme="minorEastAsia"/>
                <w:color w:val="auto"/>
                <w:kern w:val="0"/>
                <w:sz w:val="18"/>
                <w:szCs w:val="18"/>
                <w:highlight w:val="none"/>
              </w:rPr>
              <w:t>拆除</w:t>
            </w:r>
            <w:r>
              <w:rPr>
                <w:rFonts w:hint="default" w:ascii="Times New Roman" w:hAnsi="Times New Roman" w:cs="Times New Roman" w:eastAsiaTheme="minorEastAsia"/>
                <w:color w:val="auto"/>
                <w:kern w:val="0"/>
                <w:sz w:val="18"/>
                <w:szCs w:val="18"/>
                <w:highlight w:val="none"/>
                <w:lang w:eastAsia="zh-CN"/>
              </w:rPr>
              <w:t>、迁移</w:t>
            </w:r>
            <w:r>
              <w:rPr>
                <w:rFonts w:hint="default" w:ascii="Times New Roman" w:hAnsi="Times New Roman" w:cs="Times New Roman" w:eastAsiaTheme="minorEastAsia"/>
                <w:color w:val="auto"/>
                <w:kern w:val="0"/>
                <w:sz w:val="18"/>
                <w:szCs w:val="18"/>
                <w:highlight w:val="none"/>
              </w:rPr>
              <w:t>环境卫生设施5处</w:t>
            </w:r>
            <w:r>
              <w:rPr>
                <w:rFonts w:hint="default" w:ascii="Times New Roman" w:hAnsi="Times New Roman" w:cs="Times New Roman" w:eastAsiaTheme="minorEastAsia"/>
                <w:color w:val="auto"/>
                <w:kern w:val="0"/>
                <w:sz w:val="18"/>
                <w:szCs w:val="18"/>
                <w:highlight w:val="none"/>
                <w:lang w:eastAsia="zh-CN"/>
              </w:rPr>
              <w:t>以上；</w:t>
            </w:r>
          </w:p>
          <w:p w14:paraId="0131ABD0">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原</w:t>
            </w:r>
            <w:r>
              <w:rPr>
                <w:rFonts w:hint="default" w:ascii="Times New Roman" w:hAnsi="Times New Roman" w:cs="Times New Roman" w:eastAsiaTheme="minorEastAsia"/>
                <w:color w:val="auto"/>
                <w:kern w:val="0"/>
                <w:sz w:val="18"/>
                <w:szCs w:val="18"/>
                <w:highlight w:val="none"/>
              </w:rPr>
              <w:t>环境卫生设施</w:t>
            </w:r>
            <w:r>
              <w:rPr>
                <w:rFonts w:hint="default" w:ascii="Times New Roman" w:hAnsi="Times New Roman" w:cs="Times New Roman" w:eastAsiaTheme="minorEastAsia"/>
                <w:color w:val="auto"/>
                <w:kern w:val="0"/>
                <w:sz w:val="18"/>
                <w:szCs w:val="18"/>
                <w:highlight w:val="none"/>
                <w:lang w:eastAsia="zh-CN"/>
              </w:rPr>
              <w:t>造价</w:t>
            </w:r>
            <w:r>
              <w:rPr>
                <w:rFonts w:hint="default" w:ascii="Times New Roman" w:hAnsi="Times New Roman" w:cs="Times New Roman" w:eastAsiaTheme="minorEastAsia"/>
                <w:color w:val="auto"/>
                <w:kern w:val="0"/>
                <w:sz w:val="18"/>
                <w:szCs w:val="18"/>
                <w:highlight w:val="none"/>
                <w:lang w:val="en-US" w:eastAsia="zh-CN"/>
              </w:rPr>
              <w:t>2000元以上</w:t>
            </w:r>
          </w:p>
        </w:tc>
        <w:tc>
          <w:tcPr>
            <w:tcW w:w="545" w:type="pct"/>
            <w:gridSpan w:val="2"/>
            <w:shd w:val="clear" w:color="auto" w:fill="auto"/>
            <w:tcMar>
              <w:top w:w="15" w:type="dxa"/>
              <w:left w:w="15" w:type="dxa"/>
              <w:right w:w="15" w:type="dxa"/>
            </w:tcMar>
            <w:vAlign w:val="center"/>
          </w:tcPr>
          <w:p w14:paraId="67AE3EC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可对单位处</w:t>
            </w:r>
            <w:r>
              <w:rPr>
                <w:rFonts w:hint="default" w:ascii="Times New Roman" w:hAnsi="Times New Roman" w:cs="Times New Roman" w:eastAsiaTheme="minorEastAsia"/>
                <w:color w:val="auto"/>
                <w:kern w:val="0"/>
                <w:sz w:val="18"/>
                <w:szCs w:val="18"/>
                <w:highlight w:val="none"/>
                <w:lang w:val="en-US"/>
              </w:rPr>
              <w:t>3.5万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5万</w:t>
            </w:r>
            <w:r>
              <w:rPr>
                <w:rFonts w:hint="default" w:ascii="Times New Roman" w:hAnsi="Times New Roman" w:cs="Times New Roman" w:eastAsiaTheme="minorEastAsia"/>
                <w:color w:val="auto"/>
                <w:kern w:val="0"/>
                <w:sz w:val="18"/>
                <w:szCs w:val="18"/>
                <w:highlight w:val="none"/>
              </w:rPr>
              <w:t>元以下的罚款，对个人处70元以上100元以下的罚款</w:t>
            </w:r>
          </w:p>
        </w:tc>
        <w:tc>
          <w:tcPr>
            <w:tcW w:w="200" w:type="pct"/>
            <w:gridSpan w:val="2"/>
            <w:vMerge w:val="continue"/>
            <w:shd w:val="clear" w:color="auto" w:fill="auto"/>
            <w:tcMar>
              <w:top w:w="15" w:type="dxa"/>
              <w:left w:w="15" w:type="dxa"/>
              <w:right w:w="15" w:type="dxa"/>
            </w:tcMar>
            <w:vAlign w:val="center"/>
          </w:tcPr>
          <w:p w14:paraId="084FBAB7">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30FF19CB">
            <w:pPr>
              <w:shd w:val="clear"/>
              <w:jc w:val="left"/>
              <w:rPr>
                <w:rFonts w:hint="default" w:ascii="Times New Roman" w:hAnsi="Times New Roman" w:cs="Times New Roman" w:eastAsiaTheme="minorEastAsia"/>
                <w:color w:val="auto"/>
                <w:sz w:val="18"/>
                <w:szCs w:val="18"/>
                <w:highlight w:val="none"/>
              </w:rPr>
            </w:pPr>
          </w:p>
        </w:tc>
      </w:tr>
      <w:tr w14:paraId="4239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17" w:type="pct"/>
            <w:gridSpan w:val="2"/>
            <w:vMerge w:val="restart"/>
            <w:shd w:val="clear" w:color="auto" w:fill="auto"/>
            <w:tcMar>
              <w:top w:w="15" w:type="dxa"/>
              <w:left w:w="15" w:type="dxa"/>
              <w:right w:w="15" w:type="dxa"/>
            </w:tcMar>
            <w:vAlign w:val="center"/>
          </w:tcPr>
          <w:p w14:paraId="1F9FDF04">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15</w:t>
            </w:r>
          </w:p>
        </w:tc>
        <w:tc>
          <w:tcPr>
            <w:tcW w:w="411" w:type="pct"/>
            <w:gridSpan w:val="2"/>
            <w:vMerge w:val="restart"/>
            <w:shd w:val="clear" w:color="auto" w:fill="auto"/>
            <w:tcMar>
              <w:top w:w="15" w:type="dxa"/>
              <w:left w:w="15" w:type="dxa"/>
              <w:right w:w="15" w:type="dxa"/>
            </w:tcMar>
            <w:vAlign w:val="center"/>
          </w:tcPr>
          <w:p w14:paraId="4B5287AD">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从事生活垃圾经营性清扫、收集、运输的企业未按照环境卫生作业标准和作业规范，在规定的时间内及时清扫、收运城市生活垃圾</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270281E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《城市生活垃圾管理办法》第二十条</w:t>
            </w:r>
            <w:r>
              <w:rPr>
                <w:rFonts w:hint="default" w:ascii="Times New Roman" w:hAnsi="Times New Roman" w:cs="Times New Roman" w:eastAsiaTheme="minorEastAsia"/>
                <w:color w:val="auto"/>
                <w:kern w:val="0"/>
                <w:sz w:val="18"/>
                <w:szCs w:val="18"/>
                <w:highlight w:val="none"/>
                <w:lang w:eastAsia="zh-CN"/>
              </w:rPr>
              <w:t>第一项</w:t>
            </w:r>
            <w:r>
              <w:rPr>
                <w:rFonts w:hint="default" w:ascii="Times New Roman" w:hAnsi="Times New Roman" w:cs="Times New Roman" w:eastAsiaTheme="minorEastAsia"/>
                <w:color w:val="auto"/>
                <w:kern w:val="0"/>
                <w:sz w:val="18"/>
                <w:szCs w:val="18"/>
                <w:highlight w:val="none"/>
              </w:rPr>
              <w:t xml:space="preserve">：“从事城市生活垃圾经营性清扫、收集、运输的企业应当履行以下义务：（一）按照环境卫生作业标准和作业规范，在规定的时间内及时清扫、收运城市生活垃圾；”  </w:t>
            </w:r>
            <w:r>
              <w:rPr>
                <w:rFonts w:hint="default" w:ascii="Times New Roman" w:hAnsi="Times New Roman" w:cs="Times New Roman" w:eastAsiaTheme="minorEastAsia"/>
                <w:color w:val="auto"/>
                <w:kern w:val="0"/>
                <w:sz w:val="18"/>
                <w:szCs w:val="18"/>
                <w:highlight w:val="none"/>
              </w:rPr>
              <w:br w:type="textWrapping"/>
            </w:r>
          </w:p>
        </w:tc>
        <w:tc>
          <w:tcPr>
            <w:tcW w:w="1314" w:type="pct"/>
            <w:gridSpan w:val="2"/>
            <w:vMerge w:val="restart"/>
            <w:shd w:val="clear" w:color="auto" w:fill="auto"/>
            <w:tcMar>
              <w:top w:w="15" w:type="dxa"/>
              <w:left w:w="15" w:type="dxa"/>
              <w:right w:w="15" w:type="dxa"/>
            </w:tcMar>
            <w:vAlign w:val="center"/>
          </w:tcPr>
          <w:p w14:paraId="3F2EBDEA">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生活垃圾管理办法》第四十五条：“从事生活垃圾经营性清扫、收集、运输的企业不履行本办法第二十条规定义务的，由直辖市、市、县人民政府建设（环境卫生）主管部门责令限期改正，并可处以5000元以上3万元以下的罚款；……造成损失的，依法承担赔偿责任。”</w:t>
            </w:r>
          </w:p>
        </w:tc>
        <w:tc>
          <w:tcPr>
            <w:tcW w:w="177" w:type="pct"/>
            <w:gridSpan w:val="2"/>
            <w:shd w:val="clear" w:color="auto" w:fill="auto"/>
            <w:tcMar>
              <w:top w:w="15" w:type="dxa"/>
              <w:left w:w="15" w:type="dxa"/>
              <w:right w:w="15" w:type="dxa"/>
            </w:tcMar>
            <w:vAlign w:val="center"/>
          </w:tcPr>
          <w:p w14:paraId="5FBB152E">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684E0EA9">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超过规定时间1天</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14E07C7F">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可处以5000元以上</w:t>
            </w:r>
            <w:r>
              <w:rPr>
                <w:rFonts w:hint="default" w:ascii="Times New Roman" w:hAnsi="Times New Roman" w:cs="Times New Roman" w:eastAsiaTheme="minorEastAsia"/>
                <w:color w:val="auto"/>
                <w:kern w:val="0"/>
                <w:sz w:val="18"/>
                <w:szCs w:val="18"/>
                <w:highlight w:val="none"/>
                <w:lang w:val="en-US" w:eastAsia="zh-CN"/>
              </w:rPr>
              <w:t>1.25万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restart"/>
            <w:shd w:val="clear" w:color="auto" w:fill="auto"/>
            <w:tcMar>
              <w:top w:w="15" w:type="dxa"/>
              <w:left w:w="15" w:type="dxa"/>
              <w:right w:w="15" w:type="dxa"/>
            </w:tcMar>
            <w:vAlign w:val="center"/>
          </w:tcPr>
          <w:p w14:paraId="697E2D4D">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责令限期改正，造成损失的，依法承担赔偿责任</w:t>
            </w:r>
          </w:p>
          <w:p w14:paraId="50CF9F1E">
            <w:pPr>
              <w:widowControl/>
              <w:shd w:val="clear"/>
              <w:jc w:val="center"/>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2E8680B7">
            <w:pPr>
              <w:shd w:val="clear"/>
              <w:jc w:val="center"/>
              <w:rPr>
                <w:rFonts w:hint="default" w:ascii="Times New Roman" w:hAnsi="Times New Roman" w:cs="Times New Roman" w:eastAsiaTheme="minorEastAsia"/>
                <w:color w:val="auto"/>
                <w:sz w:val="18"/>
                <w:szCs w:val="18"/>
                <w:highlight w:val="none"/>
                <w:lang w:val="en-US" w:eastAsia="zh-CN"/>
              </w:rPr>
            </w:pPr>
          </w:p>
        </w:tc>
      </w:tr>
      <w:tr w14:paraId="35CE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17" w:type="pct"/>
            <w:gridSpan w:val="2"/>
            <w:vMerge w:val="continue"/>
            <w:shd w:val="clear" w:color="auto" w:fill="auto"/>
            <w:tcMar>
              <w:top w:w="15" w:type="dxa"/>
              <w:left w:w="15" w:type="dxa"/>
              <w:right w:w="15" w:type="dxa"/>
            </w:tcMar>
            <w:vAlign w:val="center"/>
          </w:tcPr>
          <w:p w14:paraId="6DE8E696">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2BDBE36F">
            <w:pPr>
              <w:shd w:val="clear"/>
              <w:jc w:val="left"/>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2B2FCCE9">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3BCE40B6">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5F5E1849">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37E77532">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超过规定时间1天</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lang w:val="en-US" w:eastAsia="zh-CN"/>
              </w:rPr>
              <w:t>2</w:t>
            </w:r>
            <w:r>
              <w:rPr>
                <w:rFonts w:hint="default" w:ascii="Times New Roman" w:hAnsi="Times New Roman" w:cs="Times New Roman" w:eastAsiaTheme="minorEastAsia"/>
                <w:color w:val="auto"/>
                <w:kern w:val="0"/>
                <w:sz w:val="18"/>
                <w:szCs w:val="18"/>
                <w:highlight w:val="none"/>
              </w:rPr>
              <w:t>天</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0B8391DA">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w:t>
            </w:r>
            <w:r>
              <w:rPr>
                <w:rFonts w:hint="default" w:ascii="Times New Roman" w:hAnsi="Times New Roman" w:cs="Times New Roman" w:eastAsiaTheme="minorEastAsia"/>
                <w:color w:val="auto"/>
                <w:kern w:val="0"/>
                <w:sz w:val="18"/>
                <w:szCs w:val="18"/>
                <w:highlight w:val="none"/>
                <w:lang w:val="en-US" w:eastAsia="zh-CN"/>
              </w:rPr>
              <w:t>1.25万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2.25万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19E84791">
            <w:pPr>
              <w:widowControl/>
              <w:shd w:val="clear"/>
              <w:jc w:val="center"/>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1ED72D2D">
            <w:pPr>
              <w:shd w:val="clear"/>
              <w:jc w:val="center"/>
              <w:rPr>
                <w:rFonts w:hint="default" w:ascii="Times New Roman" w:hAnsi="Times New Roman" w:cs="Times New Roman" w:eastAsiaTheme="minorEastAsia"/>
                <w:color w:val="auto"/>
                <w:sz w:val="18"/>
                <w:szCs w:val="18"/>
                <w:highlight w:val="none"/>
              </w:rPr>
            </w:pPr>
          </w:p>
        </w:tc>
      </w:tr>
      <w:tr w14:paraId="56DA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17" w:type="pct"/>
            <w:gridSpan w:val="2"/>
            <w:vMerge w:val="continue"/>
            <w:shd w:val="clear" w:color="auto" w:fill="auto"/>
            <w:tcMar>
              <w:top w:w="15" w:type="dxa"/>
              <w:left w:w="15" w:type="dxa"/>
              <w:right w:w="15" w:type="dxa"/>
            </w:tcMar>
            <w:vAlign w:val="center"/>
          </w:tcPr>
          <w:p w14:paraId="51EC761E">
            <w:pPr>
              <w:shd w:val="clear"/>
              <w:jc w:val="center"/>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1A3D0706">
            <w:pPr>
              <w:shd w:val="clear"/>
              <w:jc w:val="center"/>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2047A294">
            <w:pPr>
              <w:shd w:val="clear"/>
              <w:jc w:val="center"/>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44B32985">
            <w:pPr>
              <w:shd w:val="clear"/>
              <w:jc w:val="center"/>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7FB70D01">
            <w:pPr>
              <w:shd w:val="clear"/>
              <w:jc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79CA7896">
            <w:pPr>
              <w:shd w:val="clear"/>
              <w:jc w:val="left"/>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超过规定时间2天</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644BCF31">
            <w:pPr>
              <w:shd w:val="clear"/>
              <w:jc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可处以</w:t>
            </w:r>
            <w:r>
              <w:rPr>
                <w:rFonts w:hint="default" w:ascii="Times New Roman" w:hAnsi="Times New Roman" w:cs="Times New Roman" w:eastAsiaTheme="minorEastAsia"/>
                <w:color w:val="auto"/>
                <w:kern w:val="0"/>
                <w:sz w:val="18"/>
                <w:szCs w:val="18"/>
                <w:highlight w:val="none"/>
                <w:lang w:val="en-US" w:eastAsia="zh-CN"/>
              </w:rPr>
              <w:t>2.25万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7F2EB4EE">
            <w:pPr>
              <w:shd w:val="clear"/>
              <w:jc w:val="center"/>
              <w:rPr>
                <w:rFonts w:hint="default" w:ascii="Times New Roman" w:hAnsi="Times New Roman" w:cs="Times New Roman" w:eastAsiaTheme="minorEastAsia"/>
                <w:color w:val="auto"/>
                <w:kern w:val="0"/>
                <w:sz w:val="18"/>
                <w:szCs w:val="18"/>
                <w:highlight w:val="none"/>
              </w:rPr>
            </w:pPr>
          </w:p>
        </w:tc>
        <w:tc>
          <w:tcPr>
            <w:tcW w:w="329" w:type="pct"/>
            <w:gridSpan w:val="2"/>
            <w:vMerge w:val="continue"/>
            <w:shd w:val="clear" w:color="auto" w:fill="auto"/>
            <w:tcMar>
              <w:top w:w="15" w:type="dxa"/>
              <w:left w:w="15" w:type="dxa"/>
              <w:right w:w="15" w:type="dxa"/>
            </w:tcMar>
            <w:vAlign w:val="center"/>
          </w:tcPr>
          <w:p w14:paraId="0388AA2C">
            <w:pPr>
              <w:shd w:val="clear"/>
              <w:jc w:val="center"/>
              <w:rPr>
                <w:rFonts w:hint="default" w:ascii="Times New Roman" w:hAnsi="Times New Roman" w:cs="Times New Roman" w:eastAsiaTheme="minorEastAsia"/>
                <w:color w:val="auto"/>
                <w:kern w:val="0"/>
                <w:sz w:val="18"/>
                <w:szCs w:val="18"/>
                <w:highlight w:val="none"/>
              </w:rPr>
            </w:pPr>
          </w:p>
        </w:tc>
      </w:tr>
      <w:tr w14:paraId="2E4A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1" w:hRule="atLeast"/>
        </w:trPr>
        <w:tc>
          <w:tcPr>
            <w:tcW w:w="117" w:type="pct"/>
            <w:gridSpan w:val="2"/>
            <w:vMerge w:val="restart"/>
            <w:shd w:val="clear" w:color="auto" w:fill="auto"/>
            <w:tcMar>
              <w:top w:w="15" w:type="dxa"/>
              <w:left w:w="15" w:type="dxa"/>
              <w:right w:w="15" w:type="dxa"/>
            </w:tcMar>
            <w:vAlign w:val="center"/>
          </w:tcPr>
          <w:p w14:paraId="434744FA">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16</w:t>
            </w:r>
          </w:p>
        </w:tc>
        <w:tc>
          <w:tcPr>
            <w:tcW w:w="411" w:type="pct"/>
            <w:gridSpan w:val="2"/>
            <w:vMerge w:val="restart"/>
            <w:shd w:val="clear" w:color="auto" w:fill="auto"/>
            <w:tcMar>
              <w:top w:w="15" w:type="dxa"/>
              <w:left w:w="15" w:type="dxa"/>
              <w:right w:w="15" w:type="dxa"/>
            </w:tcMar>
            <w:vAlign w:val="center"/>
          </w:tcPr>
          <w:p w14:paraId="3D40858F">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从事生活垃圾经营性清扫、收集、运输的企业未将收集的城市生活垃圾运到直辖市、市、县人民政府建设（环境卫生）主管部门认可的处理场所</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694063E6">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《城市生活垃圾管理办法》第二十条</w:t>
            </w:r>
            <w:r>
              <w:rPr>
                <w:rFonts w:hint="default" w:ascii="Times New Roman" w:hAnsi="Times New Roman" w:cs="Times New Roman" w:eastAsiaTheme="minorEastAsia"/>
                <w:color w:val="auto"/>
                <w:kern w:val="0"/>
                <w:sz w:val="18"/>
                <w:szCs w:val="18"/>
                <w:highlight w:val="none"/>
                <w:lang w:eastAsia="zh-CN"/>
              </w:rPr>
              <w:t>第二项</w:t>
            </w:r>
            <w:r>
              <w:rPr>
                <w:rFonts w:hint="default" w:ascii="Times New Roman" w:hAnsi="Times New Roman" w:cs="Times New Roman" w:eastAsiaTheme="minorEastAsia"/>
                <w:color w:val="auto"/>
                <w:kern w:val="0"/>
                <w:sz w:val="18"/>
                <w:szCs w:val="18"/>
                <w:highlight w:val="none"/>
              </w:rPr>
              <w:t>：“第二十条　从事城市生活垃圾经营性清扫、收集、运输的企业应当履行以下义务：（二）将收集的城市生活垃圾运到直辖市、市、县人民政府建设（环境卫生）主管部门认可的处理场所；”</w:t>
            </w:r>
          </w:p>
        </w:tc>
        <w:tc>
          <w:tcPr>
            <w:tcW w:w="1314" w:type="pct"/>
            <w:gridSpan w:val="2"/>
            <w:vMerge w:val="restart"/>
            <w:shd w:val="clear" w:color="auto" w:fill="auto"/>
            <w:tcMar>
              <w:top w:w="15" w:type="dxa"/>
              <w:left w:w="15" w:type="dxa"/>
              <w:right w:w="15" w:type="dxa"/>
            </w:tcMar>
            <w:vAlign w:val="center"/>
          </w:tcPr>
          <w:p w14:paraId="47DF21B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生活垃圾管理办法》第四十五条：“从事生活垃圾经营性清扫、收集、运输的企业不履行本办法第二十条规定义务的，由直辖市、市、县人民政府建设（环境卫生）主管部门责令限期改正，并可处以5000元以上3万元以下的罚款；……造成损失的，依法承担赔偿责任。”</w:t>
            </w:r>
          </w:p>
        </w:tc>
        <w:tc>
          <w:tcPr>
            <w:tcW w:w="177" w:type="pct"/>
            <w:gridSpan w:val="2"/>
            <w:shd w:val="clear" w:color="auto" w:fill="auto"/>
            <w:tcMar>
              <w:top w:w="15" w:type="dxa"/>
              <w:left w:w="15" w:type="dxa"/>
              <w:right w:w="15" w:type="dxa"/>
            </w:tcMar>
            <w:vAlign w:val="center"/>
          </w:tcPr>
          <w:p w14:paraId="50324872">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2B3A79D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垃圾体积10立方米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1CA3493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可处以5000元以上</w:t>
            </w:r>
            <w:r>
              <w:rPr>
                <w:rFonts w:hint="default" w:ascii="Times New Roman" w:hAnsi="Times New Roman" w:cs="Times New Roman" w:eastAsiaTheme="minorEastAsia"/>
                <w:color w:val="auto"/>
                <w:kern w:val="0"/>
                <w:sz w:val="18"/>
                <w:szCs w:val="18"/>
                <w:highlight w:val="none"/>
                <w:lang w:val="en-US" w:eastAsia="zh-CN"/>
              </w:rPr>
              <w:t>1.25万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restart"/>
            <w:shd w:val="clear" w:color="auto" w:fill="auto"/>
            <w:tcMar>
              <w:top w:w="15" w:type="dxa"/>
              <w:left w:w="15" w:type="dxa"/>
              <w:right w:w="15" w:type="dxa"/>
            </w:tcMar>
            <w:vAlign w:val="center"/>
          </w:tcPr>
          <w:p w14:paraId="60D5804F">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责令限期改正，造成损失的，依法承担赔偿责任</w:t>
            </w:r>
          </w:p>
          <w:p w14:paraId="174FAAB6">
            <w:pPr>
              <w:widowControl/>
              <w:shd w:val="clear"/>
              <w:jc w:val="left"/>
              <w:textAlignment w:val="center"/>
              <w:rPr>
                <w:rFonts w:hint="default" w:ascii="Times New Roman" w:hAnsi="Times New Roman" w:cs="Times New Roman" w:eastAsiaTheme="minorEastAsia"/>
                <w:color w:val="auto"/>
                <w:sz w:val="18"/>
                <w:szCs w:val="18"/>
                <w:highlight w:val="none"/>
              </w:rPr>
            </w:pPr>
          </w:p>
          <w:p w14:paraId="0E72C7AA">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551C1525">
            <w:pPr>
              <w:shd w:val="clear"/>
              <w:rPr>
                <w:rFonts w:hint="default" w:ascii="Times New Roman" w:hAnsi="Times New Roman" w:cs="Times New Roman" w:eastAsiaTheme="minorEastAsia"/>
                <w:color w:val="auto"/>
                <w:sz w:val="18"/>
                <w:szCs w:val="18"/>
                <w:highlight w:val="none"/>
                <w:lang w:val="en-US"/>
              </w:rPr>
            </w:pPr>
          </w:p>
        </w:tc>
      </w:tr>
      <w:tr w14:paraId="632EF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7" w:type="pct"/>
            <w:gridSpan w:val="2"/>
            <w:vMerge w:val="continue"/>
            <w:shd w:val="clear" w:color="auto" w:fill="auto"/>
            <w:tcMar>
              <w:top w:w="15" w:type="dxa"/>
              <w:left w:w="15" w:type="dxa"/>
              <w:right w:w="15" w:type="dxa"/>
            </w:tcMar>
            <w:vAlign w:val="center"/>
          </w:tcPr>
          <w:p w14:paraId="2E6B8336">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031C7D01">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D5C82EC">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53C26680">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003DEAEF">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01A88A9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垃圾体积10立方米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30立方米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0D9C055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w:t>
            </w:r>
            <w:r>
              <w:rPr>
                <w:rFonts w:hint="default" w:ascii="Times New Roman" w:hAnsi="Times New Roman" w:cs="Times New Roman" w:eastAsiaTheme="minorEastAsia"/>
                <w:color w:val="auto"/>
                <w:kern w:val="0"/>
                <w:sz w:val="18"/>
                <w:szCs w:val="18"/>
                <w:highlight w:val="none"/>
                <w:lang w:val="en-US" w:eastAsia="zh-CN"/>
              </w:rPr>
              <w:t>1.25万</w:t>
            </w:r>
            <w:r>
              <w:rPr>
                <w:rFonts w:hint="default" w:ascii="Times New Roman" w:hAnsi="Times New Roman" w:cs="Times New Roman" w:eastAsiaTheme="minorEastAsia"/>
                <w:color w:val="auto"/>
                <w:kern w:val="0"/>
                <w:sz w:val="18"/>
                <w:szCs w:val="18"/>
                <w:highlight w:val="none"/>
              </w:rPr>
              <w:t>元以</w:t>
            </w:r>
            <w:r>
              <w:rPr>
                <w:rFonts w:hint="default" w:ascii="Times New Roman" w:hAnsi="Times New Roman" w:cs="Times New Roman" w:eastAsiaTheme="minorEastAsia"/>
                <w:color w:val="auto"/>
                <w:kern w:val="0"/>
                <w:sz w:val="18"/>
                <w:szCs w:val="18"/>
                <w:highlight w:val="none"/>
                <w:lang w:val="en-US" w:eastAsia="zh-CN"/>
              </w:rPr>
              <w:t>2.25万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13A0E3EC">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24AD35F2">
            <w:pPr>
              <w:shd w:val="clear"/>
              <w:rPr>
                <w:rFonts w:hint="default" w:ascii="Times New Roman" w:hAnsi="Times New Roman" w:cs="Times New Roman" w:eastAsiaTheme="minorEastAsia"/>
                <w:color w:val="auto"/>
                <w:sz w:val="18"/>
                <w:szCs w:val="18"/>
                <w:highlight w:val="none"/>
              </w:rPr>
            </w:pPr>
          </w:p>
        </w:tc>
      </w:tr>
      <w:tr w14:paraId="7CC4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117" w:type="pct"/>
            <w:gridSpan w:val="2"/>
            <w:vMerge w:val="continue"/>
            <w:shd w:val="clear" w:color="auto" w:fill="auto"/>
            <w:tcMar>
              <w:top w:w="15" w:type="dxa"/>
              <w:left w:w="15" w:type="dxa"/>
              <w:right w:w="15" w:type="dxa"/>
            </w:tcMar>
            <w:vAlign w:val="center"/>
          </w:tcPr>
          <w:p w14:paraId="47B412A1">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572C48EE">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9848C4C">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5E5D0B71">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5F1CFE51">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3E027BCF">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垃圾体积30立方米</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155F020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w:t>
            </w:r>
            <w:r>
              <w:rPr>
                <w:rFonts w:hint="default" w:ascii="Times New Roman" w:hAnsi="Times New Roman" w:cs="Times New Roman" w:eastAsiaTheme="minorEastAsia"/>
                <w:color w:val="auto"/>
                <w:kern w:val="0"/>
                <w:sz w:val="18"/>
                <w:szCs w:val="18"/>
                <w:highlight w:val="none"/>
                <w:lang w:val="en-US" w:eastAsia="zh-CN"/>
              </w:rPr>
              <w:t>2.25万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504D147D">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01A4335F">
            <w:pPr>
              <w:shd w:val="clear"/>
              <w:rPr>
                <w:rFonts w:hint="default" w:ascii="Times New Roman" w:hAnsi="Times New Roman" w:cs="Times New Roman" w:eastAsiaTheme="minorEastAsia"/>
                <w:color w:val="auto"/>
                <w:sz w:val="18"/>
                <w:szCs w:val="18"/>
                <w:highlight w:val="none"/>
              </w:rPr>
            </w:pPr>
          </w:p>
        </w:tc>
      </w:tr>
      <w:tr w14:paraId="052C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6" w:hRule="atLeast"/>
        </w:trPr>
        <w:tc>
          <w:tcPr>
            <w:tcW w:w="117" w:type="pct"/>
            <w:gridSpan w:val="2"/>
            <w:vMerge w:val="restart"/>
            <w:shd w:val="clear" w:color="auto" w:fill="auto"/>
            <w:tcMar>
              <w:top w:w="15" w:type="dxa"/>
              <w:left w:w="15" w:type="dxa"/>
              <w:right w:w="15" w:type="dxa"/>
            </w:tcMar>
            <w:vAlign w:val="center"/>
          </w:tcPr>
          <w:p w14:paraId="30E83EC8">
            <w:pPr>
              <w:widowControl/>
              <w:shd w:val="clear"/>
              <w:jc w:val="center"/>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17</w:t>
            </w:r>
          </w:p>
        </w:tc>
        <w:tc>
          <w:tcPr>
            <w:tcW w:w="411" w:type="pct"/>
            <w:gridSpan w:val="2"/>
            <w:vMerge w:val="restart"/>
            <w:shd w:val="clear" w:color="auto" w:fill="auto"/>
            <w:tcMar>
              <w:top w:w="15" w:type="dxa"/>
              <w:left w:w="15" w:type="dxa"/>
              <w:right w:w="15" w:type="dxa"/>
            </w:tcMar>
            <w:vAlign w:val="center"/>
          </w:tcPr>
          <w:p w14:paraId="132088DE">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从事生活垃圾经营性清扫、收集、运输的企业在清扫、收运城市生活垃圾后，未对生活垃圾收集设施及时保洁、复位，清理作业场地，保持生活垃圾收集设施和周边环境干净整洁</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2AFEE09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《城市生活垃圾管理办法》第二十条</w:t>
            </w:r>
            <w:r>
              <w:rPr>
                <w:rFonts w:hint="default" w:ascii="Times New Roman" w:hAnsi="Times New Roman" w:cs="Times New Roman" w:eastAsiaTheme="minorEastAsia"/>
                <w:color w:val="auto"/>
                <w:kern w:val="0"/>
                <w:sz w:val="18"/>
                <w:szCs w:val="18"/>
                <w:highlight w:val="none"/>
                <w:lang w:eastAsia="zh-CN"/>
              </w:rPr>
              <w:t>第三项</w:t>
            </w:r>
            <w:r>
              <w:rPr>
                <w:rFonts w:hint="default" w:ascii="Times New Roman" w:hAnsi="Times New Roman" w:cs="Times New Roman" w:eastAsiaTheme="minorEastAsia"/>
                <w:color w:val="auto"/>
                <w:kern w:val="0"/>
                <w:sz w:val="18"/>
                <w:szCs w:val="18"/>
                <w:highlight w:val="none"/>
              </w:rPr>
              <w:t>：“从事城市生活垃圾经营性清扫、收集、运输的企业应当履行以下义务：（三）清扫、收运城市生活垃圾后，对生活垃圾收集设施及时保洁、复位，清理作业场地，保持生活垃圾收集设施和周边环境的干净整洁；”</w:t>
            </w:r>
          </w:p>
        </w:tc>
        <w:tc>
          <w:tcPr>
            <w:tcW w:w="1314" w:type="pct"/>
            <w:gridSpan w:val="2"/>
            <w:vMerge w:val="restart"/>
            <w:shd w:val="clear" w:color="auto" w:fill="auto"/>
            <w:tcMar>
              <w:top w:w="15" w:type="dxa"/>
              <w:left w:w="15" w:type="dxa"/>
              <w:right w:w="15" w:type="dxa"/>
            </w:tcMar>
            <w:vAlign w:val="center"/>
          </w:tcPr>
          <w:p w14:paraId="633A91D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生活垃圾管理办法》第四十五条：“从事生活垃圾经营性清扫、收集、运输的企业不履行本办法第二十条规定义务的，由直辖市、市、县人民政府建设（环境卫生）主管部门责令限期改正，并可处以5000元以上3万元以下的罚款；……造成损失的，依法承担赔偿责任</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w:t>
            </w:r>
          </w:p>
        </w:tc>
        <w:tc>
          <w:tcPr>
            <w:tcW w:w="177" w:type="pct"/>
            <w:gridSpan w:val="2"/>
            <w:shd w:val="clear" w:color="auto" w:fill="auto"/>
            <w:tcMar>
              <w:top w:w="15" w:type="dxa"/>
              <w:left w:w="15" w:type="dxa"/>
              <w:right w:w="15" w:type="dxa"/>
            </w:tcMar>
            <w:vAlign w:val="center"/>
          </w:tcPr>
          <w:p w14:paraId="745E20DE">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634ABE4F">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超过规定时间</w:t>
            </w:r>
            <w:r>
              <w:rPr>
                <w:rFonts w:hint="default" w:ascii="Times New Roman" w:hAnsi="Times New Roman" w:cs="Times New Roman" w:eastAsiaTheme="minorEastAsia"/>
                <w:color w:val="auto"/>
                <w:kern w:val="0"/>
                <w:sz w:val="18"/>
                <w:szCs w:val="18"/>
                <w:highlight w:val="none"/>
                <w:lang w:val="en-US" w:eastAsia="zh-CN"/>
              </w:rPr>
              <w:t>2</w:t>
            </w:r>
            <w:r>
              <w:rPr>
                <w:rFonts w:hint="default" w:ascii="Times New Roman" w:hAnsi="Times New Roman" w:cs="Times New Roman" w:eastAsiaTheme="minorEastAsia"/>
                <w:color w:val="auto"/>
                <w:kern w:val="0"/>
                <w:sz w:val="18"/>
                <w:szCs w:val="18"/>
                <w:highlight w:val="none"/>
              </w:rPr>
              <w:t>天</w:t>
            </w:r>
            <w:r>
              <w:rPr>
                <w:rFonts w:hint="default" w:ascii="Times New Roman" w:hAnsi="Times New Roman" w:cs="Times New Roman" w:eastAsiaTheme="minorEastAsia"/>
                <w:color w:val="auto"/>
                <w:kern w:val="0"/>
                <w:sz w:val="18"/>
                <w:szCs w:val="18"/>
                <w:highlight w:val="none"/>
                <w:lang w:eastAsia="zh-CN"/>
              </w:rPr>
              <w:t>以下；</w:t>
            </w:r>
          </w:p>
          <w:p w14:paraId="644081A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未保证整洁的区域</w:t>
            </w:r>
            <w:r>
              <w:rPr>
                <w:rFonts w:hint="default" w:ascii="Times New Roman" w:hAnsi="Times New Roman" w:cs="Times New Roman" w:eastAsiaTheme="minorEastAsia"/>
                <w:color w:val="auto"/>
                <w:kern w:val="0"/>
                <w:sz w:val="18"/>
                <w:szCs w:val="18"/>
                <w:highlight w:val="none"/>
                <w:lang w:val="en-US" w:eastAsia="zh-CN"/>
              </w:rPr>
              <w:t>10</w:t>
            </w:r>
            <w:r>
              <w:rPr>
                <w:rFonts w:hint="default" w:ascii="Times New Roman" w:hAnsi="Times New Roman" w:cs="Times New Roman" w:eastAsiaTheme="minorEastAsia"/>
                <w:color w:val="auto"/>
                <w:kern w:val="0"/>
                <w:sz w:val="18"/>
                <w:szCs w:val="18"/>
                <w:highlight w:val="none"/>
              </w:rPr>
              <w:t>平方米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423372B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可处以5000元以上</w:t>
            </w:r>
            <w:r>
              <w:rPr>
                <w:rFonts w:hint="default" w:ascii="Times New Roman" w:hAnsi="Times New Roman" w:cs="Times New Roman" w:eastAsiaTheme="minorEastAsia"/>
                <w:color w:val="auto"/>
                <w:kern w:val="0"/>
                <w:sz w:val="18"/>
                <w:szCs w:val="18"/>
                <w:highlight w:val="none"/>
                <w:lang w:val="en-US" w:eastAsia="zh-CN"/>
              </w:rPr>
              <w:t>1.25万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restart"/>
            <w:shd w:val="clear" w:color="auto" w:fill="auto"/>
            <w:tcMar>
              <w:top w:w="15" w:type="dxa"/>
              <w:left w:w="15" w:type="dxa"/>
              <w:right w:w="15" w:type="dxa"/>
            </w:tcMar>
            <w:vAlign w:val="center"/>
          </w:tcPr>
          <w:p w14:paraId="7D38DA8E">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w:t>
            </w:r>
            <w:r>
              <w:rPr>
                <w:rFonts w:hint="default" w:ascii="Times New Roman" w:hAnsi="Times New Roman" w:cs="Times New Roman" w:eastAsiaTheme="minorEastAsia"/>
                <w:color w:val="auto"/>
                <w:kern w:val="0"/>
                <w:sz w:val="18"/>
                <w:szCs w:val="18"/>
                <w:highlight w:val="none"/>
                <w:lang w:eastAsia="zh-CN"/>
              </w:rPr>
              <w:t>，造成损失的，依法承担赔偿责任</w:t>
            </w:r>
          </w:p>
          <w:p w14:paraId="1F4FE5EC">
            <w:pPr>
              <w:widowControl/>
              <w:shd w:val="clear"/>
              <w:jc w:val="left"/>
              <w:textAlignment w:val="center"/>
              <w:rPr>
                <w:rFonts w:hint="default" w:ascii="Times New Roman" w:hAnsi="Times New Roman" w:cs="Times New Roman" w:eastAsiaTheme="minorEastAsia"/>
                <w:color w:val="auto"/>
                <w:sz w:val="18"/>
                <w:szCs w:val="18"/>
                <w:highlight w:val="none"/>
              </w:rPr>
            </w:pPr>
          </w:p>
          <w:p w14:paraId="032E00EB">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61F69416">
            <w:pPr>
              <w:shd w:val="clear"/>
              <w:rPr>
                <w:rFonts w:hint="default" w:ascii="Times New Roman" w:hAnsi="Times New Roman" w:cs="Times New Roman" w:eastAsiaTheme="minorEastAsia"/>
                <w:color w:val="auto"/>
                <w:sz w:val="18"/>
                <w:szCs w:val="18"/>
                <w:highlight w:val="none"/>
                <w:shd w:val="clear" w:fill="92D050"/>
                <w:lang w:val="en-US" w:eastAsia="zh-CN"/>
              </w:rPr>
            </w:pPr>
          </w:p>
        </w:tc>
      </w:tr>
      <w:tr w14:paraId="660E3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5" w:hRule="atLeast"/>
        </w:trPr>
        <w:tc>
          <w:tcPr>
            <w:tcW w:w="117" w:type="pct"/>
            <w:gridSpan w:val="2"/>
            <w:vMerge w:val="continue"/>
            <w:shd w:val="clear" w:color="auto" w:fill="auto"/>
            <w:tcMar>
              <w:top w:w="15" w:type="dxa"/>
              <w:left w:w="15" w:type="dxa"/>
              <w:right w:w="15" w:type="dxa"/>
            </w:tcMar>
            <w:vAlign w:val="center"/>
          </w:tcPr>
          <w:p w14:paraId="39C1A454">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609D7ADA">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03EFD5F9">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0AE92723">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692891E9">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0BDCA6D0">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超过规定时间</w:t>
            </w:r>
            <w:r>
              <w:rPr>
                <w:rFonts w:hint="default" w:ascii="Times New Roman" w:hAnsi="Times New Roman" w:cs="Times New Roman" w:eastAsiaTheme="minorEastAsia"/>
                <w:color w:val="auto"/>
                <w:kern w:val="0"/>
                <w:sz w:val="18"/>
                <w:szCs w:val="18"/>
                <w:highlight w:val="none"/>
                <w:lang w:val="en-US" w:eastAsia="zh-CN"/>
              </w:rPr>
              <w:t>2天以上5天以下；</w:t>
            </w:r>
          </w:p>
          <w:p w14:paraId="3EDDA40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未保证整洁的区域</w:t>
            </w:r>
            <w:r>
              <w:rPr>
                <w:rFonts w:hint="default" w:ascii="Times New Roman" w:hAnsi="Times New Roman" w:cs="Times New Roman" w:eastAsiaTheme="minorEastAsia"/>
                <w:color w:val="auto"/>
                <w:kern w:val="0"/>
                <w:sz w:val="18"/>
                <w:szCs w:val="18"/>
                <w:highlight w:val="none"/>
                <w:lang w:val="en-US" w:eastAsia="zh-CN"/>
              </w:rPr>
              <w:t>10</w:t>
            </w:r>
            <w:r>
              <w:rPr>
                <w:rFonts w:hint="default" w:ascii="Times New Roman" w:hAnsi="Times New Roman" w:cs="Times New Roman" w:eastAsiaTheme="minorEastAsia"/>
                <w:color w:val="auto"/>
                <w:kern w:val="0"/>
                <w:sz w:val="18"/>
                <w:szCs w:val="18"/>
                <w:highlight w:val="none"/>
              </w:rPr>
              <w:t>平方米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lang w:val="en-US" w:eastAsia="zh-CN"/>
              </w:rPr>
              <w:t>20平方米以下</w:t>
            </w:r>
          </w:p>
        </w:tc>
        <w:tc>
          <w:tcPr>
            <w:tcW w:w="545" w:type="pct"/>
            <w:gridSpan w:val="2"/>
            <w:shd w:val="clear" w:color="auto" w:fill="auto"/>
            <w:tcMar>
              <w:top w:w="15" w:type="dxa"/>
              <w:left w:w="15" w:type="dxa"/>
              <w:right w:w="15" w:type="dxa"/>
            </w:tcMar>
            <w:vAlign w:val="center"/>
          </w:tcPr>
          <w:p w14:paraId="2C53153F">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w:t>
            </w:r>
            <w:r>
              <w:rPr>
                <w:rFonts w:hint="default" w:ascii="Times New Roman" w:hAnsi="Times New Roman" w:cs="Times New Roman" w:eastAsiaTheme="minorEastAsia"/>
                <w:color w:val="auto"/>
                <w:kern w:val="0"/>
                <w:sz w:val="18"/>
                <w:szCs w:val="18"/>
                <w:highlight w:val="none"/>
                <w:lang w:val="en-US" w:eastAsia="zh-CN"/>
              </w:rPr>
              <w:t>1.25万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2.25万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0741D390">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4CCFE5D1">
            <w:pPr>
              <w:shd w:val="clear"/>
              <w:rPr>
                <w:rFonts w:hint="default" w:ascii="Times New Roman" w:hAnsi="Times New Roman" w:cs="Times New Roman" w:eastAsiaTheme="minorEastAsia"/>
                <w:color w:val="auto"/>
                <w:sz w:val="18"/>
                <w:szCs w:val="18"/>
                <w:highlight w:val="none"/>
              </w:rPr>
            </w:pPr>
          </w:p>
        </w:tc>
      </w:tr>
      <w:tr w14:paraId="1BAC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trPr>
        <w:tc>
          <w:tcPr>
            <w:tcW w:w="117" w:type="pct"/>
            <w:gridSpan w:val="2"/>
            <w:vMerge w:val="continue"/>
            <w:shd w:val="clear" w:color="auto" w:fill="auto"/>
            <w:tcMar>
              <w:top w:w="15" w:type="dxa"/>
              <w:left w:w="15" w:type="dxa"/>
              <w:right w:w="15" w:type="dxa"/>
            </w:tcMar>
            <w:vAlign w:val="center"/>
          </w:tcPr>
          <w:p w14:paraId="26706E75">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2A15A9B0">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2DAF8A65">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0909B978">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247D78F6">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44C85E53">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超过规定时间</w:t>
            </w:r>
            <w:r>
              <w:rPr>
                <w:rFonts w:hint="default" w:ascii="Times New Roman" w:hAnsi="Times New Roman" w:cs="Times New Roman" w:eastAsiaTheme="minorEastAsia"/>
                <w:color w:val="auto"/>
                <w:kern w:val="0"/>
                <w:sz w:val="18"/>
                <w:szCs w:val="18"/>
                <w:highlight w:val="none"/>
                <w:lang w:val="en-US" w:eastAsia="zh-CN"/>
              </w:rPr>
              <w:t>5天以上；</w:t>
            </w:r>
          </w:p>
          <w:p w14:paraId="7962236A">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未保证整洁的区域</w:t>
            </w:r>
            <w:r>
              <w:rPr>
                <w:rFonts w:hint="default" w:ascii="Times New Roman" w:hAnsi="Times New Roman" w:cs="Times New Roman" w:eastAsiaTheme="minorEastAsia"/>
                <w:color w:val="auto"/>
                <w:kern w:val="0"/>
                <w:sz w:val="18"/>
                <w:szCs w:val="18"/>
                <w:highlight w:val="none"/>
                <w:lang w:val="en-US" w:eastAsia="zh-CN"/>
              </w:rPr>
              <w:t>20</w:t>
            </w:r>
            <w:r>
              <w:rPr>
                <w:rFonts w:hint="default" w:ascii="Times New Roman" w:hAnsi="Times New Roman" w:cs="Times New Roman" w:eastAsiaTheme="minorEastAsia"/>
                <w:color w:val="auto"/>
                <w:kern w:val="0"/>
                <w:sz w:val="18"/>
                <w:szCs w:val="18"/>
                <w:highlight w:val="none"/>
              </w:rPr>
              <w:t>平方米</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7D6777D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w:t>
            </w:r>
            <w:r>
              <w:rPr>
                <w:rFonts w:hint="default" w:ascii="Times New Roman" w:hAnsi="Times New Roman" w:cs="Times New Roman" w:eastAsiaTheme="minorEastAsia"/>
                <w:color w:val="auto"/>
                <w:kern w:val="0"/>
                <w:sz w:val="18"/>
                <w:szCs w:val="18"/>
                <w:highlight w:val="none"/>
                <w:lang w:val="en-US" w:eastAsia="zh-CN"/>
              </w:rPr>
              <w:t>2.25万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4ABF66F1">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720B16DE">
            <w:pPr>
              <w:shd w:val="clear"/>
              <w:rPr>
                <w:rFonts w:hint="default" w:ascii="Times New Roman" w:hAnsi="Times New Roman" w:cs="Times New Roman" w:eastAsiaTheme="minorEastAsia"/>
                <w:color w:val="auto"/>
                <w:sz w:val="18"/>
                <w:szCs w:val="18"/>
                <w:highlight w:val="none"/>
              </w:rPr>
            </w:pPr>
          </w:p>
        </w:tc>
      </w:tr>
      <w:tr w14:paraId="49A0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17" w:type="pct"/>
            <w:gridSpan w:val="2"/>
            <w:vMerge w:val="restart"/>
            <w:shd w:val="clear" w:color="auto" w:fill="auto"/>
            <w:tcMar>
              <w:top w:w="15" w:type="dxa"/>
              <w:left w:w="15" w:type="dxa"/>
              <w:right w:w="15" w:type="dxa"/>
            </w:tcMar>
            <w:vAlign w:val="center"/>
          </w:tcPr>
          <w:p w14:paraId="6EA45DAF">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18</w:t>
            </w:r>
          </w:p>
        </w:tc>
        <w:tc>
          <w:tcPr>
            <w:tcW w:w="411" w:type="pct"/>
            <w:gridSpan w:val="2"/>
            <w:vMerge w:val="restart"/>
            <w:shd w:val="clear" w:color="auto" w:fill="auto"/>
            <w:tcMar>
              <w:top w:w="15" w:type="dxa"/>
              <w:left w:w="15" w:type="dxa"/>
              <w:right w:w="15" w:type="dxa"/>
            </w:tcMar>
            <w:vAlign w:val="center"/>
          </w:tcPr>
          <w:p w14:paraId="039F959C">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从事生活垃圾经营性清扫、收集、运输的企业用于收集、运输城市生活垃圾的车辆、船舶未做到密闭、完好和整洁</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71FD749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《城市生活垃圾管理办法》第二十条</w:t>
            </w:r>
            <w:r>
              <w:rPr>
                <w:rFonts w:hint="default" w:ascii="Times New Roman" w:hAnsi="Times New Roman" w:cs="Times New Roman" w:eastAsiaTheme="minorEastAsia"/>
                <w:color w:val="auto"/>
                <w:kern w:val="0"/>
                <w:sz w:val="18"/>
                <w:szCs w:val="18"/>
                <w:highlight w:val="none"/>
                <w:lang w:eastAsia="zh-CN"/>
              </w:rPr>
              <w:t>第四项</w:t>
            </w:r>
            <w:r>
              <w:rPr>
                <w:rFonts w:hint="default" w:ascii="Times New Roman" w:hAnsi="Times New Roman" w:cs="Times New Roman" w:eastAsiaTheme="minorEastAsia"/>
                <w:color w:val="auto"/>
                <w:kern w:val="0"/>
                <w:sz w:val="18"/>
                <w:szCs w:val="18"/>
                <w:highlight w:val="none"/>
              </w:rPr>
              <w:t>：“从事城市生活垃圾经营性清扫、收集、运输的企业应当履行以下义务：（四）用于收集、运输城市生活垃圾的车辆、船舶应当做到密闭、完好和整洁。”</w:t>
            </w:r>
          </w:p>
        </w:tc>
        <w:tc>
          <w:tcPr>
            <w:tcW w:w="1314" w:type="pct"/>
            <w:gridSpan w:val="2"/>
            <w:vMerge w:val="restart"/>
            <w:shd w:val="clear" w:color="auto" w:fill="auto"/>
            <w:tcMar>
              <w:top w:w="15" w:type="dxa"/>
              <w:left w:w="15" w:type="dxa"/>
              <w:right w:w="15" w:type="dxa"/>
            </w:tcMar>
            <w:vAlign w:val="center"/>
          </w:tcPr>
          <w:p w14:paraId="108E21B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生活垃圾管理办法》第四十五条：“从事生活垃圾经营性清扫、收集、运输的企业不履行本办法第二十条规定义务的，由直辖市、市、县人民政府建设（环境卫生）主管部门责令限期改正，并可处以5000元以上3万元以下的罚款；……造成损失的，依法承担赔偿责任</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w:t>
            </w:r>
          </w:p>
        </w:tc>
        <w:tc>
          <w:tcPr>
            <w:tcW w:w="177" w:type="pct"/>
            <w:gridSpan w:val="2"/>
            <w:shd w:val="clear" w:color="auto" w:fill="auto"/>
            <w:tcMar>
              <w:top w:w="15" w:type="dxa"/>
              <w:left w:w="15" w:type="dxa"/>
              <w:right w:w="15" w:type="dxa"/>
            </w:tcMar>
            <w:vAlign w:val="center"/>
          </w:tcPr>
          <w:p w14:paraId="019CCA3B">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745B7624">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运输车辆</w:t>
            </w:r>
            <w:r>
              <w:rPr>
                <w:rFonts w:hint="default" w:ascii="Times New Roman" w:hAnsi="Times New Roman" w:cs="Times New Roman" w:eastAsiaTheme="minorEastAsia"/>
                <w:color w:val="auto"/>
                <w:kern w:val="0"/>
                <w:sz w:val="18"/>
                <w:szCs w:val="18"/>
                <w:highlight w:val="none"/>
              </w:rPr>
              <w:t>未做到密闭、完好和整洁</w:t>
            </w:r>
            <w:r>
              <w:rPr>
                <w:rFonts w:hint="default" w:ascii="Times New Roman" w:hAnsi="Times New Roman" w:cs="Times New Roman" w:eastAsiaTheme="minorEastAsia"/>
                <w:color w:val="auto"/>
                <w:kern w:val="0"/>
                <w:sz w:val="18"/>
                <w:szCs w:val="18"/>
                <w:highlight w:val="none"/>
                <w:lang w:val="en-US" w:eastAsia="zh-CN"/>
              </w:rPr>
              <w:t>3</w:t>
            </w:r>
            <w:r>
              <w:rPr>
                <w:rFonts w:hint="default" w:ascii="Times New Roman" w:hAnsi="Times New Roman" w:cs="Times New Roman" w:eastAsiaTheme="minorEastAsia"/>
                <w:color w:val="auto"/>
                <w:kern w:val="0"/>
                <w:sz w:val="18"/>
                <w:szCs w:val="18"/>
                <w:highlight w:val="none"/>
              </w:rPr>
              <w:t>车（次）</w:t>
            </w:r>
            <w:r>
              <w:rPr>
                <w:rFonts w:hint="default" w:ascii="Times New Roman" w:hAnsi="Times New Roman" w:cs="Times New Roman" w:eastAsiaTheme="minorEastAsia"/>
                <w:color w:val="auto"/>
                <w:kern w:val="0"/>
                <w:sz w:val="18"/>
                <w:szCs w:val="18"/>
                <w:highlight w:val="none"/>
                <w:lang w:eastAsia="zh-CN"/>
              </w:rPr>
              <w:t>以下；</w:t>
            </w:r>
          </w:p>
          <w:p w14:paraId="16A0AB6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运输船舶</w:t>
            </w:r>
            <w:r>
              <w:rPr>
                <w:rFonts w:hint="default" w:ascii="Times New Roman" w:hAnsi="Times New Roman" w:cs="Times New Roman" w:eastAsiaTheme="minorEastAsia"/>
                <w:color w:val="auto"/>
                <w:kern w:val="0"/>
                <w:sz w:val="18"/>
                <w:szCs w:val="18"/>
                <w:highlight w:val="none"/>
              </w:rPr>
              <w:t>未做到密闭、完好和整洁</w:t>
            </w:r>
            <w:r>
              <w:rPr>
                <w:rFonts w:hint="default" w:ascii="Times New Roman" w:hAnsi="Times New Roman" w:cs="Times New Roman" w:eastAsiaTheme="minorEastAsia"/>
                <w:color w:val="auto"/>
                <w:kern w:val="0"/>
                <w:sz w:val="18"/>
                <w:szCs w:val="18"/>
                <w:highlight w:val="none"/>
                <w:lang w:val="en-US" w:eastAsia="zh-CN"/>
              </w:rPr>
              <w:t>3</w:t>
            </w:r>
            <w:r>
              <w:rPr>
                <w:rFonts w:hint="default" w:ascii="Times New Roman" w:hAnsi="Times New Roman" w:cs="Times New Roman" w:eastAsiaTheme="minorEastAsia"/>
                <w:color w:val="auto"/>
                <w:kern w:val="0"/>
                <w:sz w:val="18"/>
                <w:szCs w:val="18"/>
                <w:highlight w:val="none"/>
              </w:rPr>
              <w:t>船（次）</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72B395F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可处以5000元以上</w:t>
            </w:r>
            <w:r>
              <w:rPr>
                <w:rFonts w:hint="default" w:ascii="Times New Roman" w:hAnsi="Times New Roman" w:cs="Times New Roman" w:eastAsiaTheme="minorEastAsia"/>
                <w:color w:val="auto"/>
                <w:kern w:val="0"/>
                <w:sz w:val="18"/>
                <w:szCs w:val="18"/>
                <w:highlight w:val="none"/>
                <w:lang w:val="en-US" w:eastAsia="zh-CN"/>
              </w:rPr>
              <w:t>1.25万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restart"/>
            <w:shd w:val="clear" w:color="auto" w:fill="auto"/>
            <w:tcMar>
              <w:top w:w="15" w:type="dxa"/>
              <w:left w:w="15" w:type="dxa"/>
              <w:right w:w="15" w:type="dxa"/>
            </w:tcMar>
            <w:vAlign w:val="center"/>
          </w:tcPr>
          <w:p w14:paraId="577AF535">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w:t>
            </w:r>
            <w:r>
              <w:rPr>
                <w:rFonts w:hint="default" w:ascii="Times New Roman" w:hAnsi="Times New Roman" w:cs="Times New Roman" w:eastAsiaTheme="minorEastAsia"/>
                <w:color w:val="auto"/>
                <w:kern w:val="0"/>
                <w:sz w:val="18"/>
                <w:szCs w:val="18"/>
                <w:highlight w:val="none"/>
                <w:lang w:eastAsia="zh-CN"/>
              </w:rPr>
              <w:t>，造成损失的，依法承担赔偿责任</w:t>
            </w:r>
          </w:p>
          <w:p w14:paraId="32F7936C">
            <w:pPr>
              <w:widowControl/>
              <w:shd w:val="clear"/>
              <w:jc w:val="left"/>
              <w:textAlignment w:val="center"/>
              <w:rPr>
                <w:rFonts w:hint="default" w:ascii="Times New Roman" w:hAnsi="Times New Roman" w:cs="Times New Roman" w:eastAsiaTheme="minorEastAsia"/>
                <w:color w:val="auto"/>
                <w:sz w:val="18"/>
                <w:szCs w:val="18"/>
                <w:highlight w:val="none"/>
              </w:rPr>
            </w:pPr>
          </w:p>
          <w:p w14:paraId="07C8A406">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p>
        </w:tc>
        <w:tc>
          <w:tcPr>
            <w:tcW w:w="390" w:type="pct"/>
            <w:gridSpan w:val="3"/>
            <w:vMerge w:val="restart"/>
            <w:shd w:val="clear" w:color="auto" w:fill="auto"/>
            <w:tcMar>
              <w:top w:w="15" w:type="dxa"/>
              <w:left w:w="15" w:type="dxa"/>
              <w:right w:w="15" w:type="dxa"/>
            </w:tcMar>
            <w:vAlign w:val="center"/>
          </w:tcPr>
          <w:p w14:paraId="6745BC8A">
            <w:pPr>
              <w:shd w:val="clear"/>
              <w:rPr>
                <w:rFonts w:hint="default" w:ascii="Times New Roman" w:hAnsi="Times New Roman" w:cs="Times New Roman" w:eastAsiaTheme="minorEastAsia"/>
                <w:color w:val="auto"/>
                <w:sz w:val="18"/>
                <w:szCs w:val="18"/>
                <w:highlight w:val="none"/>
                <w:lang w:val="en-US" w:eastAsia="zh-CN"/>
              </w:rPr>
            </w:pPr>
          </w:p>
        </w:tc>
      </w:tr>
      <w:tr w14:paraId="5208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17" w:type="pct"/>
            <w:gridSpan w:val="2"/>
            <w:vMerge w:val="continue"/>
            <w:shd w:val="clear" w:color="auto" w:fill="auto"/>
            <w:tcMar>
              <w:top w:w="15" w:type="dxa"/>
              <w:left w:w="15" w:type="dxa"/>
              <w:right w:w="15" w:type="dxa"/>
            </w:tcMar>
            <w:vAlign w:val="center"/>
          </w:tcPr>
          <w:p w14:paraId="0F5DB327">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55D572C8">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281219E4">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3342056C">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72CA46BE">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357530A5">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运输车辆</w:t>
            </w:r>
            <w:r>
              <w:rPr>
                <w:rFonts w:hint="default" w:ascii="Times New Roman" w:hAnsi="Times New Roman" w:cs="Times New Roman" w:eastAsiaTheme="minorEastAsia"/>
                <w:color w:val="auto"/>
                <w:kern w:val="0"/>
                <w:sz w:val="18"/>
                <w:szCs w:val="18"/>
                <w:highlight w:val="none"/>
              </w:rPr>
              <w:t>未做到密闭、完好和整洁3车（次）</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6车（次）</w:t>
            </w:r>
            <w:r>
              <w:rPr>
                <w:rFonts w:hint="default" w:ascii="Times New Roman" w:hAnsi="Times New Roman" w:cs="Times New Roman" w:eastAsiaTheme="minorEastAsia"/>
                <w:color w:val="auto"/>
                <w:kern w:val="0"/>
                <w:sz w:val="18"/>
                <w:szCs w:val="18"/>
                <w:highlight w:val="none"/>
                <w:lang w:eastAsia="zh-CN"/>
              </w:rPr>
              <w:t>以下；</w:t>
            </w:r>
          </w:p>
          <w:p w14:paraId="0DF46B6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运输船舶</w:t>
            </w:r>
            <w:r>
              <w:rPr>
                <w:rFonts w:hint="default" w:ascii="Times New Roman" w:hAnsi="Times New Roman" w:cs="Times New Roman" w:eastAsiaTheme="minorEastAsia"/>
                <w:color w:val="auto"/>
                <w:kern w:val="0"/>
                <w:sz w:val="18"/>
                <w:szCs w:val="18"/>
                <w:highlight w:val="none"/>
              </w:rPr>
              <w:t>未做到密闭、完好和整洁</w:t>
            </w:r>
            <w:r>
              <w:rPr>
                <w:rFonts w:hint="default" w:ascii="Times New Roman" w:hAnsi="Times New Roman" w:cs="Times New Roman" w:eastAsiaTheme="minorEastAsia"/>
                <w:color w:val="auto"/>
                <w:kern w:val="0"/>
                <w:sz w:val="18"/>
                <w:szCs w:val="18"/>
                <w:highlight w:val="none"/>
                <w:lang w:val="en-US" w:eastAsia="zh-CN"/>
              </w:rPr>
              <w:t>3</w:t>
            </w:r>
            <w:r>
              <w:rPr>
                <w:rFonts w:hint="default" w:ascii="Times New Roman" w:hAnsi="Times New Roman" w:cs="Times New Roman" w:eastAsiaTheme="minorEastAsia"/>
                <w:color w:val="auto"/>
                <w:kern w:val="0"/>
                <w:sz w:val="18"/>
                <w:szCs w:val="18"/>
                <w:highlight w:val="none"/>
              </w:rPr>
              <w:t>船（次）</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lang w:val="en-US" w:eastAsia="zh-CN"/>
              </w:rPr>
              <w:t>4船（次）以下</w:t>
            </w:r>
          </w:p>
        </w:tc>
        <w:tc>
          <w:tcPr>
            <w:tcW w:w="545" w:type="pct"/>
            <w:gridSpan w:val="2"/>
            <w:shd w:val="clear" w:color="auto" w:fill="auto"/>
            <w:tcMar>
              <w:top w:w="15" w:type="dxa"/>
              <w:left w:w="15" w:type="dxa"/>
              <w:right w:w="15" w:type="dxa"/>
            </w:tcMar>
            <w:vAlign w:val="center"/>
          </w:tcPr>
          <w:p w14:paraId="58C2B97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w:t>
            </w:r>
            <w:r>
              <w:rPr>
                <w:rFonts w:hint="default" w:ascii="Times New Roman" w:hAnsi="Times New Roman" w:cs="Times New Roman" w:eastAsiaTheme="minorEastAsia"/>
                <w:color w:val="auto"/>
                <w:kern w:val="0"/>
                <w:sz w:val="18"/>
                <w:szCs w:val="18"/>
                <w:highlight w:val="none"/>
                <w:lang w:val="en-US" w:eastAsia="zh-CN"/>
              </w:rPr>
              <w:t>1.25万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2.25万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50E4D208">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7F4F4DAB">
            <w:pPr>
              <w:shd w:val="clear"/>
              <w:rPr>
                <w:rFonts w:hint="default" w:ascii="Times New Roman" w:hAnsi="Times New Roman" w:cs="Times New Roman" w:eastAsiaTheme="minorEastAsia"/>
                <w:color w:val="auto"/>
                <w:sz w:val="18"/>
                <w:szCs w:val="18"/>
                <w:highlight w:val="none"/>
              </w:rPr>
            </w:pPr>
          </w:p>
        </w:tc>
      </w:tr>
      <w:tr w14:paraId="308A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17" w:type="pct"/>
            <w:gridSpan w:val="2"/>
            <w:vMerge w:val="continue"/>
            <w:shd w:val="clear" w:color="auto" w:fill="auto"/>
            <w:tcMar>
              <w:top w:w="15" w:type="dxa"/>
              <w:left w:w="15" w:type="dxa"/>
              <w:right w:w="15" w:type="dxa"/>
            </w:tcMar>
            <w:vAlign w:val="center"/>
          </w:tcPr>
          <w:p w14:paraId="74654B74">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4C7B8E14">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710F8B4F">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1C596883">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1B3D5C4B">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1969340B">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运输车辆</w:t>
            </w:r>
            <w:r>
              <w:rPr>
                <w:rFonts w:hint="default" w:ascii="Times New Roman" w:hAnsi="Times New Roman" w:cs="Times New Roman" w:eastAsiaTheme="minorEastAsia"/>
                <w:color w:val="auto"/>
                <w:kern w:val="0"/>
                <w:sz w:val="18"/>
                <w:szCs w:val="18"/>
                <w:highlight w:val="none"/>
              </w:rPr>
              <w:t>未做到密闭、完好和整洁6车（次）</w:t>
            </w:r>
            <w:r>
              <w:rPr>
                <w:rFonts w:hint="default" w:ascii="Times New Roman" w:hAnsi="Times New Roman" w:cs="Times New Roman" w:eastAsiaTheme="minorEastAsia"/>
                <w:color w:val="auto"/>
                <w:kern w:val="0"/>
                <w:sz w:val="18"/>
                <w:szCs w:val="18"/>
                <w:highlight w:val="none"/>
                <w:lang w:eastAsia="zh-CN"/>
              </w:rPr>
              <w:t>以上；</w:t>
            </w:r>
          </w:p>
          <w:p w14:paraId="6F5E6D1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运输船舶未做到密闭、完好和整洁</w:t>
            </w:r>
            <w:r>
              <w:rPr>
                <w:rFonts w:hint="default" w:ascii="Times New Roman" w:hAnsi="Times New Roman" w:cs="Times New Roman" w:eastAsiaTheme="minorEastAsia"/>
                <w:color w:val="auto"/>
                <w:kern w:val="0"/>
                <w:sz w:val="18"/>
                <w:szCs w:val="18"/>
                <w:highlight w:val="none"/>
                <w:lang w:val="en-US" w:eastAsia="zh-CN"/>
              </w:rPr>
              <w:t>4</w:t>
            </w:r>
            <w:r>
              <w:rPr>
                <w:rFonts w:hint="default" w:ascii="Times New Roman" w:hAnsi="Times New Roman" w:cs="Times New Roman" w:eastAsiaTheme="minorEastAsia"/>
                <w:color w:val="auto"/>
                <w:kern w:val="0"/>
                <w:sz w:val="18"/>
                <w:szCs w:val="18"/>
                <w:highlight w:val="none"/>
              </w:rPr>
              <w:t>船（次）</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4B2A2B7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w:t>
            </w:r>
            <w:r>
              <w:rPr>
                <w:rFonts w:hint="default" w:ascii="Times New Roman" w:hAnsi="Times New Roman" w:cs="Times New Roman" w:eastAsiaTheme="minorEastAsia"/>
                <w:color w:val="auto"/>
                <w:kern w:val="0"/>
                <w:sz w:val="18"/>
                <w:szCs w:val="18"/>
                <w:highlight w:val="none"/>
                <w:lang w:val="en-US" w:eastAsia="zh-CN"/>
              </w:rPr>
              <w:t>2.25万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0CBCA571">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p>
        </w:tc>
        <w:tc>
          <w:tcPr>
            <w:tcW w:w="390" w:type="pct"/>
            <w:gridSpan w:val="3"/>
            <w:vMerge w:val="continue"/>
            <w:shd w:val="clear" w:color="auto" w:fill="auto"/>
            <w:tcMar>
              <w:top w:w="15" w:type="dxa"/>
              <w:left w:w="15" w:type="dxa"/>
              <w:right w:w="15" w:type="dxa"/>
            </w:tcMar>
            <w:vAlign w:val="center"/>
          </w:tcPr>
          <w:p w14:paraId="73465253">
            <w:pPr>
              <w:shd w:val="clear"/>
              <w:rPr>
                <w:rFonts w:hint="default" w:ascii="Times New Roman" w:hAnsi="Times New Roman" w:cs="Times New Roman" w:eastAsiaTheme="minorEastAsia"/>
                <w:color w:val="auto"/>
                <w:sz w:val="18"/>
                <w:szCs w:val="18"/>
                <w:highlight w:val="none"/>
              </w:rPr>
            </w:pPr>
          </w:p>
        </w:tc>
      </w:tr>
      <w:tr w14:paraId="7B02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117" w:type="pct"/>
            <w:gridSpan w:val="2"/>
            <w:vMerge w:val="restart"/>
            <w:shd w:val="clear" w:color="auto" w:fill="auto"/>
            <w:tcMar>
              <w:top w:w="15" w:type="dxa"/>
              <w:left w:w="15" w:type="dxa"/>
              <w:right w:w="15" w:type="dxa"/>
            </w:tcMar>
            <w:vAlign w:val="center"/>
          </w:tcPr>
          <w:p w14:paraId="64A4C9DE">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sz w:val="18"/>
                <w:szCs w:val="18"/>
                <w:highlight w:val="none"/>
                <w:lang w:val="en-US" w:eastAsia="zh-CN"/>
              </w:rPr>
              <w:t>19</w:t>
            </w:r>
          </w:p>
        </w:tc>
        <w:tc>
          <w:tcPr>
            <w:tcW w:w="411" w:type="pct"/>
            <w:gridSpan w:val="2"/>
            <w:vMerge w:val="restart"/>
            <w:shd w:val="clear" w:color="auto" w:fill="auto"/>
            <w:tcMar>
              <w:top w:w="15" w:type="dxa"/>
              <w:left w:w="15" w:type="dxa"/>
              <w:right w:w="15" w:type="dxa"/>
            </w:tcMar>
            <w:vAlign w:val="center"/>
          </w:tcPr>
          <w:p w14:paraId="5E614877">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从事城市生活垃圾经营性清扫、收集、运输的企业，未经批准擅自停业、歇业</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3E74820D">
            <w:pPr>
              <w:widowControl/>
              <w:numPr>
                <w:ilvl w:val="255"/>
                <w:numId w:val="0"/>
              </w:numPr>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《城市生活垃圾管理办法》第二十一条</w:t>
            </w:r>
            <w:r>
              <w:rPr>
                <w:rFonts w:hint="default" w:ascii="Times New Roman" w:hAnsi="Times New Roman" w:cs="Times New Roman" w:eastAsiaTheme="minorEastAsia"/>
                <w:color w:val="auto"/>
                <w:kern w:val="0"/>
                <w:sz w:val="18"/>
                <w:szCs w:val="18"/>
                <w:highlight w:val="none"/>
                <w:lang w:eastAsia="zh-CN"/>
              </w:rPr>
              <w:t>第二项</w:t>
            </w:r>
            <w:r>
              <w:rPr>
                <w:rFonts w:hint="default" w:ascii="Times New Roman" w:hAnsi="Times New Roman" w:cs="Times New Roman" w:eastAsiaTheme="minorEastAsia"/>
                <w:color w:val="auto"/>
                <w:kern w:val="0"/>
                <w:sz w:val="18"/>
                <w:szCs w:val="18"/>
                <w:highlight w:val="none"/>
              </w:rPr>
              <w:t>：“从事城市生活垃圾经营性清扫、收集、运输的企业，禁止实施下列行为：（二）擅自停业、歇业；”</w:t>
            </w:r>
            <w:r>
              <w:rPr>
                <w:rFonts w:hint="default" w:ascii="Times New Roman" w:hAnsi="Times New Roman" w:cs="Times New Roman" w:eastAsiaTheme="minorEastAsia"/>
                <w:color w:val="auto"/>
                <w:kern w:val="0"/>
                <w:sz w:val="18"/>
                <w:szCs w:val="18"/>
                <w:highlight w:val="none"/>
              </w:rPr>
              <w:br w:type="textWrapping"/>
            </w:r>
            <w:r>
              <w:rPr>
                <w:rFonts w:hint="default" w:ascii="Times New Roman" w:hAnsi="Times New Roman" w:cs="Times New Roman" w:eastAsiaTheme="minorEastAsia"/>
                <w:color w:val="auto"/>
                <w:kern w:val="0"/>
                <w:sz w:val="18"/>
                <w:szCs w:val="18"/>
                <w:highlight w:val="none"/>
              </w:rPr>
              <w:t>第三十五条第一款：“从事城市生活垃圾经营性清扫、收集、运输、处置的企业需停业、歇业的，应当提前半年向所在地直辖市、市、县人民政府建设（环境卫生）主管部门报告，经同意后方可停业或者歇业。”</w:t>
            </w:r>
          </w:p>
        </w:tc>
        <w:tc>
          <w:tcPr>
            <w:tcW w:w="1314" w:type="pct"/>
            <w:gridSpan w:val="2"/>
            <w:vMerge w:val="restart"/>
            <w:shd w:val="clear" w:color="auto" w:fill="auto"/>
            <w:tcMar>
              <w:top w:w="15" w:type="dxa"/>
              <w:left w:w="15" w:type="dxa"/>
              <w:right w:w="15" w:type="dxa"/>
            </w:tcMar>
            <w:vAlign w:val="center"/>
          </w:tcPr>
          <w:p w14:paraId="0185F5F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生活垃圾管理办法》第四十六条：“违反本办法规定，从事城市生活垃圾经营性清扫、收集、运输的企业，未经批准擅自停业、歇业的，由直辖市、市、县人民政府建设（环境卫生）主管部门责令限期改正，并可处以1万元以上3万元以下罚款；……造成损失的，依法承担赔偿责任。”</w:t>
            </w:r>
          </w:p>
        </w:tc>
        <w:tc>
          <w:tcPr>
            <w:tcW w:w="177" w:type="pct"/>
            <w:gridSpan w:val="2"/>
            <w:shd w:val="clear" w:color="auto" w:fill="auto"/>
            <w:tcMar>
              <w:top w:w="15" w:type="dxa"/>
              <w:left w:w="15" w:type="dxa"/>
              <w:right w:w="15" w:type="dxa"/>
            </w:tcMar>
            <w:vAlign w:val="center"/>
          </w:tcPr>
          <w:p w14:paraId="7B374F24">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09DE02B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擅自</w:t>
            </w:r>
            <w:r>
              <w:rPr>
                <w:rFonts w:hint="default" w:ascii="Times New Roman" w:hAnsi="Times New Roman" w:cs="Times New Roman" w:eastAsiaTheme="minorEastAsia"/>
                <w:color w:val="auto"/>
                <w:kern w:val="0"/>
                <w:sz w:val="18"/>
                <w:szCs w:val="18"/>
                <w:highlight w:val="none"/>
              </w:rPr>
              <w:t>停业、歇业</w:t>
            </w:r>
            <w:r>
              <w:rPr>
                <w:rFonts w:hint="default" w:ascii="Times New Roman" w:hAnsi="Times New Roman" w:cs="Times New Roman" w:eastAsiaTheme="minorEastAsia"/>
                <w:color w:val="auto"/>
                <w:kern w:val="0"/>
                <w:sz w:val="18"/>
                <w:szCs w:val="18"/>
                <w:highlight w:val="none"/>
                <w:lang w:val="en-US" w:eastAsia="zh-CN"/>
              </w:rPr>
              <w:t>2</w:t>
            </w:r>
            <w:r>
              <w:rPr>
                <w:rFonts w:hint="default" w:ascii="Times New Roman" w:hAnsi="Times New Roman" w:cs="Times New Roman" w:eastAsiaTheme="minorEastAsia"/>
                <w:color w:val="auto"/>
                <w:kern w:val="0"/>
                <w:sz w:val="18"/>
                <w:szCs w:val="18"/>
                <w:highlight w:val="none"/>
              </w:rPr>
              <w:t>天</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334DDB1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w:t>
            </w:r>
            <w:r>
              <w:rPr>
                <w:rFonts w:hint="default" w:ascii="Times New Roman" w:hAnsi="Times New Roman" w:cs="Times New Roman" w:eastAsiaTheme="minorEastAsia"/>
                <w:color w:val="auto"/>
                <w:kern w:val="0"/>
                <w:sz w:val="18"/>
                <w:szCs w:val="18"/>
                <w:highlight w:val="none"/>
                <w:lang w:val="en-US"/>
              </w:rPr>
              <w:t>1万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1.6万</w:t>
            </w:r>
            <w:r>
              <w:rPr>
                <w:rFonts w:hint="default" w:ascii="Times New Roman" w:hAnsi="Times New Roman" w:cs="Times New Roman" w:eastAsiaTheme="minorEastAsia"/>
                <w:color w:val="auto"/>
                <w:kern w:val="0"/>
                <w:sz w:val="18"/>
                <w:szCs w:val="18"/>
                <w:highlight w:val="none"/>
              </w:rPr>
              <w:t>元以下罚款</w:t>
            </w:r>
          </w:p>
        </w:tc>
        <w:tc>
          <w:tcPr>
            <w:tcW w:w="200" w:type="pct"/>
            <w:gridSpan w:val="2"/>
            <w:vMerge w:val="restart"/>
            <w:shd w:val="clear" w:color="auto" w:fill="auto"/>
            <w:tcMar>
              <w:top w:w="15" w:type="dxa"/>
              <w:left w:w="15" w:type="dxa"/>
              <w:right w:w="15" w:type="dxa"/>
            </w:tcMar>
            <w:vAlign w:val="center"/>
          </w:tcPr>
          <w:p w14:paraId="0C6CFE33">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w:t>
            </w:r>
            <w:r>
              <w:rPr>
                <w:rFonts w:hint="default" w:ascii="Times New Roman" w:hAnsi="Times New Roman" w:cs="Times New Roman" w:eastAsiaTheme="minorEastAsia"/>
                <w:color w:val="auto"/>
                <w:kern w:val="0"/>
                <w:sz w:val="18"/>
                <w:szCs w:val="18"/>
                <w:highlight w:val="none"/>
                <w:lang w:eastAsia="zh-CN"/>
              </w:rPr>
              <w:t>，造成损失的，依法承担赔偿责任</w:t>
            </w:r>
          </w:p>
          <w:p w14:paraId="290B9AD7">
            <w:pPr>
              <w:widowControl/>
              <w:shd w:val="clear"/>
              <w:jc w:val="left"/>
              <w:textAlignment w:val="center"/>
              <w:rPr>
                <w:rFonts w:hint="default" w:ascii="Times New Roman" w:hAnsi="Times New Roman" w:cs="Times New Roman" w:eastAsiaTheme="minorEastAsia"/>
                <w:color w:val="auto"/>
                <w:sz w:val="18"/>
                <w:szCs w:val="18"/>
                <w:highlight w:val="none"/>
              </w:rPr>
            </w:pPr>
          </w:p>
          <w:p w14:paraId="78EF8226">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595824ED">
            <w:pPr>
              <w:shd w:val="clear"/>
              <w:rPr>
                <w:rFonts w:hint="default" w:ascii="Times New Roman" w:hAnsi="Times New Roman" w:cs="Times New Roman" w:eastAsiaTheme="minorEastAsia"/>
                <w:color w:val="auto"/>
                <w:sz w:val="18"/>
                <w:szCs w:val="18"/>
                <w:highlight w:val="none"/>
                <w:lang w:val="en-US" w:eastAsia="zh-CN"/>
              </w:rPr>
            </w:pPr>
          </w:p>
        </w:tc>
      </w:tr>
      <w:tr w14:paraId="1E28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117" w:type="pct"/>
            <w:gridSpan w:val="2"/>
            <w:vMerge w:val="continue"/>
            <w:shd w:val="clear" w:color="auto" w:fill="auto"/>
            <w:tcMar>
              <w:top w:w="15" w:type="dxa"/>
              <w:left w:w="15" w:type="dxa"/>
              <w:right w:w="15" w:type="dxa"/>
            </w:tcMar>
            <w:vAlign w:val="center"/>
          </w:tcPr>
          <w:p w14:paraId="3B412CED">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7317E0F8">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4D7C952B">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264AAF42">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424FA45D">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762CB0C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擅自</w:t>
            </w:r>
            <w:r>
              <w:rPr>
                <w:rFonts w:hint="default" w:ascii="Times New Roman" w:hAnsi="Times New Roman" w:cs="Times New Roman" w:eastAsiaTheme="minorEastAsia"/>
                <w:color w:val="auto"/>
                <w:kern w:val="0"/>
                <w:sz w:val="18"/>
                <w:szCs w:val="18"/>
                <w:highlight w:val="none"/>
              </w:rPr>
              <w:t>停业、歇业</w:t>
            </w:r>
            <w:r>
              <w:rPr>
                <w:rFonts w:hint="default" w:ascii="Times New Roman" w:hAnsi="Times New Roman" w:cs="Times New Roman" w:eastAsiaTheme="minorEastAsia"/>
                <w:color w:val="auto"/>
                <w:kern w:val="0"/>
                <w:sz w:val="18"/>
                <w:szCs w:val="18"/>
                <w:highlight w:val="none"/>
                <w:lang w:val="en-US" w:eastAsia="zh-CN"/>
              </w:rPr>
              <w:t>2天以上3</w:t>
            </w:r>
            <w:r>
              <w:rPr>
                <w:rFonts w:hint="default" w:ascii="Times New Roman" w:hAnsi="Times New Roman" w:cs="Times New Roman" w:eastAsiaTheme="minorEastAsia"/>
                <w:color w:val="auto"/>
                <w:kern w:val="0"/>
                <w:sz w:val="18"/>
                <w:szCs w:val="18"/>
                <w:highlight w:val="none"/>
              </w:rPr>
              <w:t>天</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31F267F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w:t>
            </w:r>
            <w:r>
              <w:rPr>
                <w:rFonts w:hint="default" w:ascii="Times New Roman" w:hAnsi="Times New Roman" w:cs="Times New Roman" w:eastAsiaTheme="minorEastAsia"/>
                <w:color w:val="auto"/>
                <w:kern w:val="0"/>
                <w:sz w:val="18"/>
                <w:szCs w:val="18"/>
                <w:highlight w:val="none"/>
                <w:lang w:val="en-US" w:eastAsia="zh-CN"/>
              </w:rPr>
              <w:t>1.6万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2.4万</w:t>
            </w:r>
            <w:r>
              <w:rPr>
                <w:rFonts w:hint="default" w:ascii="Times New Roman" w:hAnsi="Times New Roman" w:cs="Times New Roman" w:eastAsiaTheme="minorEastAsia"/>
                <w:color w:val="auto"/>
                <w:kern w:val="0"/>
                <w:sz w:val="18"/>
                <w:szCs w:val="18"/>
                <w:highlight w:val="none"/>
              </w:rPr>
              <w:t>元以下罚款</w:t>
            </w:r>
          </w:p>
        </w:tc>
        <w:tc>
          <w:tcPr>
            <w:tcW w:w="200" w:type="pct"/>
            <w:gridSpan w:val="2"/>
            <w:vMerge w:val="continue"/>
            <w:shd w:val="clear" w:color="auto" w:fill="auto"/>
            <w:tcMar>
              <w:top w:w="15" w:type="dxa"/>
              <w:left w:w="15" w:type="dxa"/>
              <w:right w:w="15" w:type="dxa"/>
            </w:tcMar>
            <w:vAlign w:val="center"/>
          </w:tcPr>
          <w:p w14:paraId="2FE934B1">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40A48FFC">
            <w:pPr>
              <w:shd w:val="clear"/>
              <w:rPr>
                <w:rFonts w:hint="default" w:ascii="Times New Roman" w:hAnsi="Times New Roman" w:cs="Times New Roman" w:eastAsiaTheme="minorEastAsia"/>
                <w:color w:val="auto"/>
                <w:sz w:val="18"/>
                <w:szCs w:val="18"/>
                <w:highlight w:val="none"/>
              </w:rPr>
            </w:pPr>
          </w:p>
        </w:tc>
      </w:tr>
      <w:tr w14:paraId="7553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117" w:type="pct"/>
            <w:gridSpan w:val="2"/>
            <w:vMerge w:val="continue"/>
            <w:shd w:val="clear" w:color="auto" w:fill="auto"/>
            <w:tcMar>
              <w:top w:w="15" w:type="dxa"/>
              <w:left w:w="15" w:type="dxa"/>
              <w:right w:w="15" w:type="dxa"/>
            </w:tcMar>
            <w:vAlign w:val="center"/>
          </w:tcPr>
          <w:p w14:paraId="6FC29B60">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12192C4E">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0E8BA3E">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4DE2E75E">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404BB49D">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1010866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擅自</w:t>
            </w:r>
            <w:r>
              <w:rPr>
                <w:rFonts w:hint="default" w:ascii="Times New Roman" w:hAnsi="Times New Roman" w:cs="Times New Roman" w:eastAsiaTheme="minorEastAsia"/>
                <w:color w:val="auto"/>
                <w:kern w:val="0"/>
                <w:sz w:val="18"/>
                <w:szCs w:val="18"/>
                <w:highlight w:val="none"/>
              </w:rPr>
              <w:t>停业、歇业</w:t>
            </w:r>
            <w:r>
              <w:rPr>
                <w:rFonts w:hint="default" w:ascii="Times New Roman" w:hAnsi="Times New Roman" w:cs="Times New Roman" w:eastAsiaTheme="minorEastAsia"/>
                <w:color w:val="auto"/>
                <w:kern w:val="0"/>
                <w:sz w:val="18"/>
                <w:szCs w:val="18"/>
                <w:highlight w:val="none"/>
                <w:lang w:val="en-US" w:eastAsia="zh-CN"/>
              </w:rPr>
              <w:t>3</w:t>
            </w:r>
            <w:r>
              <w:rPr>
                <w:rFonts w:hint="default" w:ascii="Times New Roman" w:hAnsi="Times New Roman" w:cs="Times New Roman" w:eastAsiaTheme="minorEastAsia"/>
                <w:color w:val="auto"/>
                <w:kern w:val="0"/>
                <w:sz w:val="18"/>
                <w:szCs w:val="18"/>
                <w:highlight w:val="none"/>
              </w:rPr>
              <w:t>天</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07849AD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w:t>
            </w:r>
            <w:r>
              <w:rPr>
                <w:rFonts w:hint="default" w:ascii="Times New Roman" w:hAnsi="Times New Roman" w:cs="Times New Roman" w:eastAsiaTheme="minorEastAsia"/>
                <w:color w:val="auto"/>
                <w:kern w:val="0"/>
                <w:sz w:val="18"/>
                <w:szCs w:val="18"/>
                <w:highlight w:val="none"/>
                <w:lang w:val="en-US" w:eastAsia="zh-CN"/>
              </w:rPr>
              <w:t>2.4万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元以下罚款</w:t>
            </w:r>
          </w:p>
        </w:tc>
        <w:tc>
          <w:tcPr>
            <w:tcW w:w="200" w:type="pct"/>
            <w:gridSpan w:val="2"/>
            <w:vMerge w:val="continue"/>
            <w:shd w:val="clear" w:color="auto" w:fill="auto"/>
            <w:tcMar>
              <w:top w:w="15" w:type="dxa"/>
              <w:left w:w="15" w:type="dxa"/>
              <w:right w:w="15" w:type="dxa"/>
            </w:tcMar>
            <w:vAlign w:val="center"/>
          </w:tcPr>
          <w:p w14:paraId="6E5B7004">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0BFE56C9">
            <w:pPr>
              <w:shd w:val="clear"/>
              <w:rPr>
                <w:rFonts w:hint="default" w:ascii="Times New Roman" w:hAnsi="Times New Roman" w:cs="Times New Roman" w:eastAsiaTheme="minorEastAsia"/>
                <w:color w:val="auto"/>
                <w:sz w:val="18"/>
                <w:szCs w:val="18"/>
                <w:highlight w:val="none"/>
              </w:rPr>
            </w:pPr>
          </w:p>
        </w:tc>
      </w:tr>
      <w:tr w14:paraId="3492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9" w:hRule="atLeast"/>
        </w:trPr>
        <w:tc>
          <w:tcPr>
            <w:tcW w:w="117" w:type="pct"/>
            <w:gridSpan w:val="2"/>
            <w:vMerge w:val="restart"/>
            <w:shd w:val="clear" w:color="auto" w:fill="auto"/>
            <w:tcMar>
              <w:top w:w="15" w:type="dxa"/>
              <w:left w:w="15" w:type="dxa"/>
              <w:right w:w="15" w:type="dxa"/>
            </w:tcMar>
            <w:vAlign w:val="center"/>
          </w:tcPr>
          <w:p w14:paraId="2BD23FBF">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20</w:t>
            </w:r>
          </w:p>
        </w:tc>
        <w:tc>
          <w:tcPr>
            <w:tcW w:w="411" w:type="pct"/>
            <w:gridSpan w:val="2"/>
            <w:vMerge w:val="restart"/>
            <w:shd w:val="clear" w:color="auto" w:fill="auto"/>
            <w:tcMar>
              <w:top w:w="15" w:type="dxa"/>
              <w:left w:w="15" w:type="dxa"/>
              <w:right w:w="15" w:type="dxa"/>
            </w:tcMar>
            <w:vAlign w:val="center"/>
          </w:tcPr>
          <w:p w14:paraId="4370780F">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在</w:t>
            </w:r>
            <w:r>
              <w:rPr>
                <w:rFonts w:hint="default" w:ascii="Times New Roman" w:hAnsi="Times New Roman" w:cs="Times New Roman" w:eastAsiaTheme="minorEastAsia"/>
                <w:color w:val="auto"/>
                <w:kern w:val="0"/>
                <w:sz w:val="18"/>
                <w:szCs w:val="18"/>
                <w:highlight w:val="none"/>
                <w:lang w:eastAsia="zh-CN"/>
              </w:rPr>
              <w:t>收集、</w:t>
            </w:r>
            <w:r>
              <w:rPr>
                <w:rFonts w:hint="default" w:ascii="Times New Roman" w:hAnsi="Times New Roman" w:cs="Times New Roman" w:eastAsiaTheme="minorEastAsia"/>
                <w:color w:val="auto"/>
                <w:kern w:val="0"/>
                <w:sz w:val="18"/>
                <w:szCs w:val="18"/>
                <w:highlight w:val="none"/>
              </w:rPr>
              <w:t>运输过程中沿途丢弃、遗撒生活垃圾的</w:t>
            </w:r>
          </w:p>
        </w:tc>
        <w:tc>
          <w:tcPr>
            <w:tcW w:w="1310" w:type="pct"/>
            <w:gridSpan w:val="2"/>
            <w:vMerge w:val="restart"/>
            <w:shd w:val="clear" w:color="auto" w:fill="auto"/>
            <w:tcMar>
              <w:top w:w="15" w:type="dxa"/>
              <w:left w:w="15" w:type="dxa"/>
              <w:right w:w="15" w:type="dxa"/>
            </w:tcMar>
            <w:vAlign w:val="center"/>
          </w:tcPr>
          <w:p w14:paraId="742B1E70">
            <w:pPr>
              <w:widowControl/>
              <w:numPr>
                <w:ilvl w:val="-1"/>
                <w:numId w:val="0"/>
              </w:numPr>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1.</w:t>
            </w:r>
            <w:r>
              <w:rPr>
                <w:rFonts w:hint="default" w:ascii="Times New Roman" w:hAnsi="Times New Roman" w:cs="Times New Roman" w:eastAsiaTheme="minorEastAsia"/>
                <w:color w:val="auto"/>
                <w:kern w:val="0"/>
                <w:sz w:val="18"/>
                <w:szCs w:val="18"/>
                <w:highlight w:val="none"/>
              </w:rPr>
              <w:t>《中华人民共和国固体废物污染环境防治法》第二十条第一款：“产生、收集、贮存、运输、利用、处置固体废物的单位和其他生产经营者，应当采取防扬散、防流失、防渗漏或者其他防止污染环境的措施，不得擅自倾倒、堆放、丢弃、遗撒固体废物。”</w:t>
            </w:r>
          </w:p>
          <w:p w14:paraId="73430888">
            <w:pPr>
              <w:widowControl/>
              <w:shd w:val="clear"/>
              <w:jc w:val="left"/>
              <w:textAlignment w:val="center"/>
              <w:rPr>
                <w:rFonts w:hint="default" w:ascii="Times New Roman" w:hAnsi="Times New Roman" w:cs="Times New Roman" w:eastAsiaTheme="minorEastAsia"/>
                <w:color w:val="auto"/>
                <w:kern w:val="0"/>
                <w:sz w:val="18"/>
                <w:szCs w:val="18"/>
                <w:highlight w:val="none"/>
              </w:rPr>
            </w:pPr>
          </w:p>
          <w:p w14:paraId="0533002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2.《东莞市生活垃圾分类管理规定》第三十三条第四项：“从事生活垃圾分类收集、运输活动的单位应当执行行业相关技术规范和操作规程，并遵守下列规定：（四）不得在收集、运输过程中随意丢弃、遗撒生活垃圾或者滴漏污水，不得在人行道、绿地、休闲区等公共区域临时性堆放生活垃圾，不得敞开式分拣、压缩和转运生活垃圾；”</w:t>
            </w:r>
          </w:p>
        </w:tc>
        <w:tc>
          <w:tcPr>
            <w:tcW w:w="1314" w:type="pct"/>
            <w:gridSpan w:val="2"/>
            <w:vMerge w:val="restart"/>
            <w:shd w:val="clear" w:color="auto" w:fill="auto"/>
            <w:tcMar>
              <w:top w:w="15" w:type="dxa"/>
              <w:left w:w="15" w:type="dxa"/>
              <w:right w:w="15" w:type="dxa"/>
            </w:tcMar>
            <w:vAlign w:val="center"/>
          </w:tcPr>
          <w:p w14:paraId="2C546438">
            <w:pPr>
              <w:shd w:val="clear"/>
              <w:jc w:val="left"/>
              <w:rPr>
                <w:rFonts w:hint="default" w:ascii="Times New Roman" w:hAnsi="Times New Roman" w:cs="Times New Roman"/>
                <w:color w:val="auto"/>
                <w:highlight w:val="none"/>
              </w:rPr>
            </w:pPr>
            <w:r>
              <w:rPr>
                <w:rFonts w:hint="default" w:ascii="Times New Roman" w:hAnsi="Times New Roman" w:cs="Times New Roman" w:eastAsiaTheme="minorEastAsia"/>
                <w:color w:val="auto"/>
                <w:kern w:val="0"/>
                <w:sz w:val="18"/>
                <w:szCs w:val="18"/>
                <w:highlight w:val="none"/>
                <w:lang w:val="en-US" w:eastAsia="zh-CN"/>
              </w:rPr>
              <w:t>1.</w:t>
            </w:r>
            <w:r>
              <w:rPr>
                <w:rFonts w:hint="default" w:ascii="Times New Roman" w:hAnsi="Times New Roman" w:cs="Times New Roman" w:eastAsiaTheme="minorEastAsia"/>
                <w:color w:val="auto"/>
                <w:kern w:val="0"/>
                <w:sz w:val="18"/>
                <w:szCs w:val="18"/>
                <w:highlight w:val="none"/>
              </w:rPr>
              <w:t>《中华人民共和国固体废物污染环境防治法》第一百一十一条:“违反本法规定，有下列行为之一，由县级以上地方人民政府环境卫生主管部门责令改正，处以罚款，没收违法所得：（七）在运输过程中沿途丢弃、遗撒生活垃圾的。”“单位有前款第一项、第七项行为之一，处五万元以上五十万元以下的罚款；......个人有前款第一项、第五项、第七项行为之一，处一百元以上五百元以下的罚款。”</w:t>
            </w:r>
          </w:p>
          <w:p w14:paraId="777101E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val="en-US" w:eastAsia="zh-CN"/>
              </w:rPr>
              <w:t>2.</w:t>
            </w:r>
            <w:r>
              <w:rPr>
                <w:rFonts w:hint="default" w:ascii="Times New Roman" w:hAnsi="Times New Roman" w:cs="Times New Roman" w:eastAsiaTheme="minorEastAsia"/>
                <w:color w:val="auto"/>
                <w:sz w:val="18"/>
                <w:szCs w:val="18"/>
                <w:highlight w:val="none"/>
              </w:rPr>
              <w:t>《东莞市生活垃圾分类管理规定》第四十三条：“生活垃圾分类收集、运输单位违反本规定第三十一条第一款规定，混合收集、运输已分类的生活垃圾的，或者违反本规定第三十三条第四项规定，在收集、运输过程中随意丢弃、遗撒生活垃圾、滴漏污水的，由城市管理综合执法部门责令改正，处五万元以上五十万元以下的罚款。”</w:t>
            </w:r>
          </w:p>
        </w:tc>
        <w:tc>
          <w:tcPr>
            <w:tcW w:w="177" w:type="pct"/>
            <w:gridSpan w:val="2"/>
            <w:shd w:val="clear" w:color="auto" w:fill="auto"/>
            <w:tcMar>
              <w:top w:w="15" w:type="dxa"/>
              <w:left w:w="15" w:type="dxa"/>
              <w:right w:w="15" w:type="dxa"/>
            </w:tcMar>
            <w:vAlign w:val="center"/>
          </w:tcPr>
          <w:p w14:paraId="5BDAE27F">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4F8DED39">
            <w:pPr>
              <w:widowControl/>
              <w:shd w:val="clear"/>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在运输过程中沿途丢弃、遗撒生活垃圾长度500米</w:t>
            </w:r>
            <w:r>
              <w:rPr>
                <w:rFonts w:hint="default" w:ascii="Times New Roman" w:hAnsi="Times New Roman" w:cs="Times New Roman" w:eastAsiaTheme="minorEastAsia"/>
                <w:color w:val="auto"/>
                <w:kern w:val="0"/>
                <w:sz w:val="18"/>
                <w:szCs w:val="18"/>
                <w:highlight w:val="none"/>
                <w:lang w:eastAsia="zh-CN"/>
              </w:rPr>
              <w:t>以下；</w:t>
            </w:r>
          </w:p>
          <w:p w14:paraId="2D5B24C6">
            <w:pPr>
              <w:widowControl/>
              <w:shd w:val="clea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lang w:val="en-US" w:eastAsia="zh-CN"/>
              </w:rPr>
              <w:t>3</w:t>
            </w:r>
            <w:r>
              <w:rPr>
                <w:rFonts w:hint="default" w:ascii="Times New Roman" w:hAnsi="Times New Roman" w:cs="Times New Roman" w:eastAsiaTheme="minorEastAsia"/>
                <w:color w:val="auto"/>
                <w:kern w:val="0"/>
                <w:sz w:val="18"/>
                <w:szCs w:val="18"/>
                <w:highlight w:val="none"/>
                <w:lang w:eastAsia="zh-CN"/>
              </w:rPr>
              <w:t>次以下同类违法行为且未造成市政道路设施损坏或交通安全事故等危害后果</w:t>
            </w:r>
          </w:p>
        </w:tc>
        <w:tc>
          <w:tcPr>
            <w:tcW w:w="545" w:type="pct"/>
            <w:gridSpan w:val="2"/>
            <w:shd w:val="clear" w:color="auto" w:fill="auto"/>
            <w:tcMar>
              <w:top w:w="15" w:type="dxa"/>
              <w:left w:w="15" w:type="dxa"/>
              <w:right w:w="15" w:type="dxa"/>
            </w:tcMar>
            <w:vAlign w:val="center"/>
          </w:tcPr>
          <w:p w14:paraId="35B3D0F5">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没收违法所得，</w:t>
            </w:r>
            <w:r>
              <w:rPr>
                <w:rFonts w:hint="default" w:ascii="Times New Roman" w:hAnsi="Times New Roman" w:cs="Times New Roman" w:eastAsiaTheme="minorEastAsia"/>
                <w:color w:val="auto"/>
                <w:kern w:val="0"/>
                <w:sz w:val="18"/>
                <w:szCs w:val="18"/>
                <w:highlight w:val="none"/>
              </w:rPr>
              <w:t>对单位处</w:t>
            </w:r>
            <w:r>
              <w:rPr>
                <w:rFonts w:hint="default" w:ascii="Times New Roman" w:hAnsi="Times New Roman" w:cs="Times New Roman" w:eastAsiaTheme="minorEastAsia"/>
                <w:color w:val="auto"/>
                <w:kern w:val="0"/>
                <w:sz w:val="18"/>
                <w:szCs w:val="18"/>
                <w:highlight w:val="none"/>
                <w:lang w:val="en-US"/>
              </w:rPr>
              <w:t>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18.5万</w:t>
            </w:r>
            <w:r>
              <w:rPr>
                <w:rFonts w:hint="default" w:ascii="Times New Roman" w:hAnsi="Times New Roman" w:cs="Times New Roman" w:eastAsiaTheme="minorEastAsia"/>
                <w:color w:val="auto"/>
                <w:kern w:val="0"/>
                <w:sz w:val="18"/>
                <w:szCs w:val="18"/>
                <w:highlight w:val="none"/>
              </w:rPr>
              <w:t>元以下的罚款，对个人处100元以上</w:t>
            </w:r>
            <w:r>
              <w:rPr>
                <w:rFonts w:hint="default" w:ascii="Times New Roman" w:hAnsi="Times New Roman" w:cs="Times New Roman" w:eastAsiaTheme="minorEastAsia"/>
                <w:color w:val="auto"/>
                <w:kern w:val="0"/>
                <w:sz w:val="18"/>
                <w:szCs w:val="18"/>
                <w:highlight w:val="none"/>
                <w:lang w:val="en-US" w:eastAsia="zh-CN"/>
              </w:rPr>
              <w:t>220</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restart"/>
            <w:shd w:val="clear" w:color="auto" w:fill="auto"/>
            <w:tcMar>
              <w:top w:w="15" w:type="dxa"/>
              <w:left w:w="15" w:type="dxa"/>
              <w:right w:w="15" w:type="dxa"/>
            </w:tcMar>
            <w:vAlign w:val="center"/>
          </w:tcPr>
          <w:p w14:paraId="066C41E0">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责令改正</w:t>
            </w:r>
          </w:p>
          <w:p w14:paraId="3861F4BA">
            <w:pPr>
              <w:widowControl/>
              <w:shd w:val="clear"/>
              <w:jc w:val="center"/>
              <w:textAlignment w:val="center"/>
              <w:rPr>
                <w:rFonts w:hint="default" w:ascii="Times New Roman" w:hAnsi="Times New Roman" w:cs="Times New Roman" w:eastAsiaTheme="minorEastAsia"/>
                <w:color w:val="auto"/>
                <w:sz w:val="18"/>
                <w:szCs w:val="18"/>
                <w:highlight w:val="none"/>
              </w:rPr>
            </w:pPr>
          </w:p>
          <w:p w14:paraId="3D074A90">
            <w:pPr>
              <w:widowControl/>
              <w:shd w:val="clear"/>
              <w:jc w:val="center"/>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6F0DBA00">
            <w:pPr>
              <w:shd w:val="clear"/>
              <w:jc w:val="center"/>
              <w:rPr>
                <w:rFonts w:hint="default" w:ascii="Times New Roman" w:hAnsi="Times New Roman" w:cs="Times New Roman" w:eastAsiaTheme="minorEastAsia"/>
                <w:color w:val="auto"/>
                <w:sz w:val="18"/>
                <w:szCs w:val="18"/>
                <w:highlight w:val="none"/>
                <w:lang w:eastAsia="zh-CN"/>
              </w:rPr>
            </w:pPr>
          </w:p>
        </w:tc>
      </w:tr>
      <w:tr w14:paraId="49F8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9" w:hRule="atLeast"/>
        </w:trPr>
        <w:tc>
          <w:tcPr>
            <w:tcW w:w="117" w:type="pct"/>
            <w:gridSpan w:val="2"/>
            <w:vMerge w:val="continue"/>
            <w:shd w:val="clear" w:color="auto" w:fill="auto"/>
            <w:tcMar>
              <w:top w:w="15" w:type="dxa"/>
              <w:left w:w="15" w:type="dxa"/>
              <w:right w:w="15" w:type="dxa"/>
            </w:tcMar>
            <w:vAlign w:val="center"/>
          </w:tcPr>
          <w:p w14:paraId="474D6180">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2E1C4F4A">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7F45FC2E">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71B5B340">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544C91B8">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24C91F64">
            <w:pPr>
              <w:widowControl/>
              <w:shd w:val="clear"/>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在运输过程中沿途丢弃、遗撒生活垃圾长度500米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1000米</w:t>
            </w:r>
            <w:r>
              <w:rPr>
                <w:rFonts w:hint="default" w:ascii="Times New Roman" w:hAnsi="Times New Roman" w:cs="Times New Roman" w:eastAsiaTheme="minorEastAsia"/>
                <w:color w:val="auto"/>
                <w:kern w:val="0"/>
                <w:sz w:val="18"/>
                <w:szCs w:val="18"/>
                <w:highlight w:val="none"/>
                <w:lang w:eastAsia="zh-CN"/>
              </w:rPr>
              <w:t>以下；</w:t>
            </w:r>
          </w:p>
          <w:p w14:paraId="2E6F617C">
            <w:pPr>
              <w:widowControl/>
              <w:shd w:val="clea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lang w:val="en-US" w:eastAsia="zh-CN"/>
              </w:rPr>
              <w:t>3</w:t>
            </w:r>
            <w:r>
              <w:rPr>
                <w:rFonts w:hint="default" w:ascii="Times New Roman" w:hAnsi="Times New Roman" w:cs="Times New Roman" w:eastAsiaTheme="minorEastAsia"/>
                <w:color w:val="auto"/>
                <w:kern w:val="0"/>
                <w:sz w:val="18"/>
                <w:szCs w:val="18"/>
                <w:highlight w:val="none"/>
                <w:lang w:eastAsia="zh-CN"/>
              </w:rPr>
              <w:t>次以上同类违法行为且未造成市政道路设施损坏或交通安全事故等危害后果</w:t>
            </w:r>
          </w:p>
        </w:tc>
        <w:tc>
          <w:tcPr>
            <w:tcW w:w="545" w:type="pct"/>
            <w:gridSpan w:val="2"/>
            <w:shd w:val="clear" w:color="auto" w:fill="auto"/>
            <w:tcMar>
              <w:top w:w="15" w:type="dxa"/>
              <w:left w:w="15" w:type="dxa"/>
              <w:right w:w="15" w:type="dxa"/>
            </w:tcMar>
            <w:vAlign w:val="center"/>
          </w:tcPr>
          <w:p w14:paraId="03EBBA14">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没收违法所得，</w:t>
            </w:r>
            <w:r>
              <w:rPr>
                <w:rFonts w:hint="default" w:ascii="Times New Roman" w:hAnsi="Times New Roman" w:cs="Times New Roman" w:eastAsiaTheme="minorEastAsia"/>
                <w:color w:val="auto"/>
                <w:kern w:val="0"/>
                <w:sz w:val="18"/>
                <w:szCs w:val="18"/>
                <w:highlight w:val="none"/>
              </w:rPr>
              <w:t>对单位处</w:t>
            </w:r>
            <w:r>
              <w:rPr>
                <w:rFonts w:hint="default" w:ascii="Times New Roman" w:hAnsi="Times New Roman" w:cs="Times New Roman" w:eastAsiaTheme="minorEastAsia"/>
                <w:color w:val="auto"/>
                <w:kern w:val="0"/>
                <w:sz w:val="18"/>
                <w:szCs w:val="18"/>
                <w:highlight w:val="none"/>
                <w:lang w:val="en-US" w:eastAsia="zh-CN"/>
              </w:rPr>
              <w:t>18.5万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36.5万</w:t>
            </w:r>
            <w:r>
              <w:rPr>
                <w:rFonts w:hint="default" w:ascii="Times New Roman" w:hAnsi="Times New Roman" w:cs="Times New Roman" w:eastAsiaTheme="minorEastAsia"/>
                <w:color w:val="auto"/>
                <w:kern w:val="0"/>
                <w:sz w:val="18"/>
                <w:szCs w:val="18"/>
                <w:highlight w:val="none"/>
              </w:rPr>
              <w:t>元以下的罚款，对个人处</w:t>
            </w:r>
            <w:r>
              <w:rPr>
                <w:rFonts w:hint="default" w:ascii="Times New Roman" w:hAnsi="Times New Roman" w:cs="Times New Roman" w:eastAsiaTheme="minorEastAsia"/>
                <w:color w:val="auto"/>
                <w:kern w:val="0"/>
                <w:sz w:val="18"/>
                <w:szCs w:val="18"/>
                <w:highlight w:val="none"/>
                <w:lang w:val="en-US" w:eastAsia="zh-CN"/>
              </w:rPr>
              <w:t>220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380</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3CCDEA4B">
            <w:pPr>
              <w:widowControl/>
              <w:shd w:val="clear"/>
              <w:jc w:val="center"/>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1C1F4526">
            <w:pPr>
              <w:shd w:val="clear"/>
              <w:jc w:val="center"/>
              <w:rPr>
                <w:rFonts w:hint="default" w:ascii="Times New Roman" w:hAnsi="Times New Roman" w:cs="Times New Roman" w:eastAsiaTheme="minorEastAsia"/>
                <w:color w:val="auto"/>
                <w:sz w:val="18"/>
                <w:szCs w:val="18"/>
                <w:highlight w:val="none"/>
              </w:rPr>
            </w:pPr>
          </w:p>
        </w:tc>
      </w:tr>
      <w:tr w14:paraId="6AA2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17" w:type="pct"/>
            <w:gridSpan w:val="2"/>
            <w:vMerge w:val="continue"/>
            <w:shd w:val="clear" w:color="auto" w:fill="auto"/>
            <w:tcMar>
              <w:top w:w="15" w:type="dxa"/>
              <w:left w:w="15" w:type="dxa"/>
              <w:right w:w="15" w:type="dxa"/>
            </w:tcMar>
            <w:vAlign w:val="center"/>
          </w:tcPr>
          <w:p w14:paraId="326FC913">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4767B12D">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58C69EA1">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083D12E1">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580B7DC4">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6F67E3A3">
            <w:pPr>
              <w:widowControl/>
              <w:shd w:val="clea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在运输过程中沿途丢弃、遗撒生活垃圾长度1000米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lang w:val="en-US" w:eastAsia="zh-CN"/>
              </w:rPr>
              <w:t>;</w:t>
            </w:r>
          </w:p>
          <w:p w14:paraId="3275613A">
            <w:pPr>
              <w:widowControl/>
              <w:shd w:val="clea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lang w:val="en-US" w:eastAsia="zh-CN"/>
              </w:rPr>
              <w:t>已</w:t>
            </w:r>
            <w:r>
              <w:rPr>
                <w:rFonts w:hint="default" w:ascii="Times New Roman" w:hAnsi="Times New Roman" w:cs="Times New Roman" w:eastAsiaTheme="minorEastAsia"/>
                <w:color w:val="auto"/>
                <w:kern w:val="0"/>
                <w:sz w:val="18"/>
                <w:szCs w:val="18"/>
                <w:highlight w:val="none"/>
                <w:lang w:eastAsia="zh-CN"/>
              </w:rPr>
              <w:t>造成市政道路设施损坏或交通安全事故等危害后果</w:t>
            </w:r>
          </w:p>
        </w:tc>
        <w:tc>
          <w:tcPr>
            <w:tcW w:w="545" w:type="pct"/>
            <w:gridSpan w:val="2"/>
            <w:shd w:val="clear" w:color="auto" w:fill="auto"/>
            <w:tcMar>
              <w:top w:w="15" w:type="dxa"/>
              <w:left w:w="15" w:type="dxa"/>
              <w:right w:w="15" w:type="dxa"/>
            </w:tcMar>
            <w:vAlign w:val="center"/>
          </w:tcPr>
          <w:p w14:paraId="217C8B26">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没收违法所得，</w:t>
            </w:r>
            <w:r>
              <w:rPr>
                <w:rFonts w:hint="default" w:ascii="Times New Roman" w:hAnsi="Times New Roman" w:cs="Times New Roman" w:eastAsiaTheme="minorEastAsia"/>
                <w:color w:val="auto"/>
                <w:kern w:val="0"/>
                <w:sz w:val="18"/>
                <w:szCs w:val="18"/>
                <w:highlight w:val="none"/>
              </w:rPr>
              <w:t>对单位处</w:t>
            </w:r>
            <w:r>
              <w:rPr>
                <w:rFonts w:hint="default" w:ascii="Times New Roman" w:hAnsi="Times New Roman" w:cs="Times New Roman" w:eastAsiaTheme="minorEastAsia"/>
                <w:color w:val="auto"/>
                <w:kern w:val="0"/>
                <w:sz w:val="18"/>
                <w:szCs w:val="18"/>
                <w:highlight w:val="none"/>
                <w:lang w:val="en-US" w:eastAsia="zh-CN"/>
              </w:rPr>
              <w:t>36.5万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50万</w:t>
            </w:r>
            <w:r>
              <w:rPr>
                <w:rFonts w:hint="default" w:ascii="Times New Roman" w:hAnsi="Times New Roman" w:cs="Times New Roman" w:eastAsiaTheme="minorEastAsia"/>
                <w:color w:val="auto"/>
                <w:kern w:val="0"/>
                <w:sz w:val="18"/>
                <w:szCs w:val="18"/>
                <w:highlight w:val="none"/>
              </w:rPr>
              <w:t>元以下的罚款，对个人处</w:t>
            </w:r>
            <w:r>
              <w:rPr>
                <w:rFonts w:hint="default" w:ascii="Times New Roman" w:hAnsi="Times New Roman" w:cs="Times New Roman" w:eastAsiaTheme="minorEastAsia"/>
                <w:color w:val="auto"/>
                <w:kern w:val="0"/>
                <w:sz w:val="18"/>
                <w:szCs w:val="18"/>
                <w:highlight w:val="none"/>
                <w:lang w:val="en-US" w:eastAsia="zh-CN"/>
              </w:rPr>
              <w:t>380</w:t>
            </w:r>
            <w:r>
              <w:rPr>
                <w:rFonts w:hint="default" w:ascii="Times New Roman" w:hAnsi="Times New Roman" w:cs="Times New Roman" w:eastAsiaTheme="minorEastAsia"/>
                <w:color w:val="auto"/>
                <w:kern w:val="0"/>
                <w:sz w:val="18"/>
                <w:szCs w:val="18"/>
                <w:highlight w:val="none"/>
              </w:rPr>
              <w:t>元以上500元以下的罚款</w:t>
            </w:r>
          </w:p>
        </w:tc>
        <w:tc>
          <w:tcPr>
            <w:tcW w:w="200" w:type="pct"/>
            <w:gridSpan w:val="2"/>
            <w:vMerge w:val="continue"/>
            <w:shd w:val="clear" w:color="auto" w:fill="auto"/>
            <w:tcMar>
              <w:top w:w="15" w:type="dxa"/>
              <w:left w:w="15" w:type="dxa"/>
              <w:right w:w="15" w:type="dxa"/>
            </w:tcMar>
            <w:vAlign w:val="center"/>
          </w:tcPr>
          <w:p w14:paraId="26D2CBE5">
            <w:pPr>
              <w:widowControl/>
              <w:shd w:val="clear"/>
              <w:jc w:val="center"/>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5A784C0C">
            <w:pPr>
              <w:shd w:val="clear"/>
              <w:jc w:val="center"/>
              <w:rPr>
                <w:rFonts w:hint="default" w:ascii="Times New Roman" w:hAnsi="Times New Roman" w:cs="Times New Roman" w:eastAsiaTheme="minorEastAsia"/>
                <w:color w:val="auto"/>
                <w:sz w:val="18"/>
                <w:szCs w:val="18"/>
                <w:highlight w:val="none"/>
              </w:rPr>
            </w:pPr>
          </w:p>
        </w:tc>
      </w:tr>
      <w:tr w14:paraId="6122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7" w:hRule="atLeast"/>
        </w:trPr>
        <w:tc>
          <w:tcPr>
            <w:tcW w:w="117" w:type="pct"/>
            <w:gridSpan w:val="2"/>
            <w:vMerge w:val="restart"/>
            <w:shd w:val="clear" w:color="auto" w:fill="auto"/>
            <w:tcMar>
              <w:top w:w="15" w:type="dxa"/>
              <w:left w:w="15" w:type="dxa"/>
              <w:right w:w="15" w:type="dxa"/>
            </w:tcMar>
            <w:vAlign w:val="center"/>
          </w:tcPr>
          <w:p w14:paraId="6041DE4F">
            <w:pPr>
              <w:shd w:val="clear"/>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21</w:t>
            </w:r>
          </w:p>
        </w:tc>
        <w:tc>
          <w:tcPr>
            <w:tcW w:w="411" w:type="pct"/>
            <w:gridSpan w:val="2"/>
            <w:vMerge w:val="restart"/>
            <w:shd w:val="clear" w:color="auto" w:fill="auto"/>
            <w:tcMar>
              <w:top w:w="15" w:type="dxa"/>
              <w:left w:w="15" w:type="dxa"/>
              <w:right w:w="15" w:type="dxa"/>
            </w:tcMar>
            <w:vAlign w:val="center"/>
          </w:tcPr>
          <w:p w14:paraId="25338351">
            <w:pPr>
              <w:shd w:val="clear"/>
              <w:jc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sz w:val="18"/>
                <w:szCs w:val="18"/>
                <w:highlight w:val="none"/>
              </w:rPr>
              <w:t>收集、运输生活垃圾的单位在运输过程中滴漏污水</w:t>
            </w:r>
            <w:r>
              <w:rPr>
                <w:rFonts w:hint="default" w:ascii="Times New Roman" w:hAnsi="Times New Roman" w:cs="Times New Roman" w:eastAsiaTheme="minorEastAsia"/>
                <w:color w:val="auto"/>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023188E7">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val="en-US" w:eastAsia="zh-CN"/>
              </w:rPr>
              <w:t>1.</w:t>
            </w:r>
            <w:r>
              <w:rPr>
                <w:rFonts w:hint="default" w:ascii="Times New Roman" w:hAnsi="Times New Roman" w:cs="Times New Roman" w:eastAsiaTheme="minorEastAsia"/>
                <w:color w:val="auto"/>
                <w:sz w:val="18"/>
                <w:szCs w:val="18"/>
                <w:highlight w:val="none"/>
              </w:rPr>
              <w:t>《广东省城乡生活垃圾管理条例》第二十八条</w:t>
            </w:r>
            <w:r>
              <w:rPr>
                <w:rFonts w:hint="default" w:ascii="Times New Roman" w:hAnsi="Times New Roman" w:cs="Times New Roman" w:eastAsiaTheme="minorEastAsia"/>
                <w:color w:val="auto"/>
                <w:sz w:val="18"/>
                <w:szCs w:val="18"/>
                <w:highlight w:val="none"/>
                <w:lang w:eastAsia="zh-CN"/>
              </w:rPr>
              <w:t>第一款第三项</w:t>
            </w:r>
            <w:r>
              <w:rPr>
                <w:rFonts w:hint="default" w:ascii="Times New Roman" w:hAnsi="Times New Roman" w:cs="Times New Roman" w:eastAsiaTheme="minorEastAsia"/>
                <w:color w:val="auto"/>
                <w:sz w:val="18"/>
                <w:szCs w:val="18"/>
                <w:highlight w:val="none"/>
              </w:rPr>
              <w:t>：“收集、运输生活垃圾的单位应当遵守下列规定：（三）配备使用符合标准的运输车辆密闭化运输生活垃圾，在运输过程中不得丢弃、遗撒垃圾以及滴漏污水；”</w:t>
            </w:r>
          </w:p>
          <w:p w14:paraId="45776309">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val="en-US" w:eastAsia="zh-CN"/>
              </w:rPr>
              <w:t>2</w:t>
            </w:r>
            <w:r>
              <w:rPr>
                <w:rFonts w:hint="default" w:ascii="Times New Roman" w:hAnsi="Times New Roman" w:cs="Times New Roman" w:eastAsiaTheme="minorEastAsia"/>
                <w:color w:val="auto"/>
                <w:sz w:val="18"/>
                <w:szCs w:val="18"/>
                <w:highlight w:val="none"/>
              </w:rPr>
              <w:t>.《东莞市生活垃圾分类管理规定》第三十三条第四项：“从事生活垃圾分类收集、运输活动的单位应当执行行业相关技术规范和操作规程，并遵守下列规定：（四）不得在收集、运输过程中随意丢弃、遗撒生活垃圾或者滴漏污水，不得在人行道、绿地、休闲区等公共区域临时性堆放生活垃圾，不得敞开式分拣、压缩和转运生活垃圾；”</w:t>
            </w:r>
          </w:p>
        </w:tc>
        <w:tc>
          <w:tcPr>
            <w:tcW w:w="1314" w:type="pct"/>
            <w:gridSpan w:val="2"/>
            <w:vMerge w:val="restart"/>
            <w:shd w:val="clear" w:color="auto" w:fill="auto"/>
            <w:tcMar>
              <w:top w:w="15" w:type="dxa"/>
              <w:left w:w="15" w:type="dxa"/>
              <w:right w:w="15" w:type="dxa"/>
            </w:tcMar>
            <w:vAlign w:val="center"/>
          </w:tcPr>
          <w:p w14:paraId="5DA8A6D6">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val="en-US" w:eastAsia="zh-CN"/>
              </w:rPr>
              <w:t>1.</w:t>
            </w:r>
            <w:r>
              <w:rPr>
                <w:rFonts w:hint="default" w:ascii="Times New Roman" w:hAnsi="Times New Roman" w:cs="Times New Roman" w:eastAsiaTheme="minorEastAsia"/>
                <w:color w:val="auto"/>
                <w:sz w:val="18"/>
                <w:szCs w:val="18"/>
                <w:highlight w:val="none"/>
              </w:rPr>
              <w:t>《广东省城乡生活垃圾管理条例》第五十五条：“违反本条例第二十八条第一款第三项、第五项规定，在运输过程中丢弃、遗撒生活垃圾或者滴漏污水，或者混合收集、运输已分类的生活垃圾的，由县级以上人民政府环境卫生主管部门责令改正，处五万元以上五十万元以下的罚款。”</w:t>
            </w:r>
          </w:p>
          <w:p w14:paraId="126506DF">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val="en-US" w:eastAsia="zh-CN"/>
              </w:rPr>
              <w:t>2.</w:t>
            </w:r>
            <w:r>
              <w:rPr>
                <w:rFonts w:hint="default" w:ascii="Times New Roman" w:hAnsi="Times New Roman" w:cs="Times New Roman" w:eastAsiaTheme="minorEastAsia"/>
                <w:color w:val="auto"/>
                <w:sz w:val="18"/>
                <w:szCs w:val="18"/>
                <w:highlight w:val="none"/>
              </w:rPr>
              <w:t>《东莞市生活垃圾分类管理规定》第四十三条：“生活垃圾分类收集、运输单位违反本规定第三十一条第一款规定，混合收集、运输已分类的生活垃圾的，或者违反本规定第三十三条第四项规定，在收集、运输过程中随意丢弃、遗撒生活垃圾、滴漏污水的，由城市管理综合执法部门责令改正，处五万元以上五十万元以下的罚款。”</w:t>
            </w:r>
          </w:p>
        </w:tc>
        <w:tc>
          <w:tcPr>
            <w:tcW w:w="177" w:type="pct"/>
            <w:gridSpan w:val="2"/>
            <w:shd w:val="clear" w:color="auto" w:fill="auto"/>
            <w:tcMar>
              <w:top w:w="15" w:type="dxa"/>
              <w:left w:w="15" w:type="dxa"/>
              <w:right w:w="15" w:type="dxa"/>
            </w:tcMar>
            <w:vAlign w:val="center"/>
          </w:tcPr>
          <w:p w14:paraId="01545092">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4803A3D7">
            <w:pPr>
              <w:widowControl/>
              <w:shd w:val="clea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滴漏污水长度500米</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lang w:val="en-US" w:eastAsia="zh-CN"/>
              </w:rPr>
              <w:t>;</w:t>
            </w:r>
          </w:p>
          <w:p w14:paraId="2A4E1CD9">
            <w:pPr>
              <w:widowControl/>
              <w:shd w:val="clear"/>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val="en-US" w:eastAsia="zh-CN"/>
              </w:rPr>
              <w:t>3</w:t>
            </w:r>
            <w:r>
              <w:rPr>
                <w:rFonts w:hint="default" w:ascii="Times New Roman" w:hAnsi="Times New Roman" w:cs="Times New Roman" w:eastAsiaTheme="minorEastAsia"/>
                <w:color w:val="auto"/>
                <w:kern w:val="0"/>
                <w:sz w:val="18"/>
                <w:szCs w:val="18"/>
                <w:highlight w:val="none"/>
                <w:lang w:eastAsia="zh-CN"/>
              </w:rPr>
              <w:t>次以下同类违法行为且未造成市政道路设施损坏或交通安全事故等危害后果</w:t>
            </w:r>
          </w:p>
        </w:tc>
        <w:tc>
          <w:tcPr>
            <w:tcW w:w="545" w:type="pct"/>
            <w:gridSpan w:val="2"/>
            <w:shd w:val="clear" w:color="auto" w:fill="auto"/>
            <w:tcMar>
              <w:top w:w="15" w:type="dxa"/>
              <w:left w:w="15" w:type="dxa"/>
              <w:right w:w="15" w:type="dxa"/>
            </w:tcMar>
            <w:vAlign w:val="center"/>
          </w:tcPr>
          <w:p w14:paraId="0CA2E73D">
            <w:pPr>
              <w:widowControl/>
              <w:shd w:val="clea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rPr>
              <w:t>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18.5万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restart"/>
            <w:shd w:val="clear" w:color="auto" w:fill="auto"/>
            <w:tcMar>
              <w:top w:w="15" w:type="dxa"/>
              <w:left w:w="15" w:type="dxa"/>
              <w:right w:w="15" w:type="dxa"/>
            </w:tcMar>
            <w:vAlign w:val="center"/>
          </w:tcPr>
          <w:p w14:paraId="53997C80">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责令改正</w:t>
            </w:r>
          </w:p>
          <w:p w14:paraId="3C342A1F">
            <w:pPr>
              <w:widowControl/>
              <w:shd w:val="clear"/>
              <w:jc w:val="center"/>
              <w:textAlignment w:val="center"/>
              <w:rPr>
                <w:rFonts w:hint="default" w:ascii="Times New Roman" w:hAnsi="Times New Roman" w:cs="Times New Roman" w:eastAsiaTheme="minorEastAsia"/>
                <w:color w:val="auto"/>
                <w:kern w:val="0"/>
                <w:sz w:val="18"/>
                <w:szCs w:val="18"/>
                <w:highlight w:val="none"/>
              </w:rPr>
            </w:pPr>
          </w:p>
          <w:p w14:paraId="30E7A8E9">
            <w:pPr>
              <w:widowControl/>
              <w:shd w:val="clear"/>
              <w:jc w:val="center"/>
              <w:textAlignment w:val="center"/>
              <w:rPr>
                <w:rFonts w:hint="default" w:ascii="Times New Roman" w:hAnsi="Times New Roman" w:cs="Times New Roman" w:eastAsiaTheme="minorEastAsia"/>
                <w:color w:val="auto"/>
                <w:kern w:val="0"/>
                <w:sz w:val="18"/>
                <w:szCs w:val="18"/>
                <w:highlight w:val="none"/>
              </w:rPr>
            </w:pPr>
          </w:p>
        </w:tc>
        <w:tc>
          <w:tcPr>
            <w:tcW w:w="390" w:type="pct"/>
            <w:gridSpan w:val="3"/>
            <w:vMerge w:val="restart"/>
            <w:shd w:val="clear" w:color="auto" w:fill="auto"/>
            <w:tcMar>
              <w:top w:w="15" w:type="dxa"/>
              <w:left w:w="15" w:type="dxa"/>
              <w:right w:w="15" w:type="dxa"/>
            </w:tcMar>
            <w:vAlign w:val="center"/>
          </w:tcPr>
          <w:p w14:paraId="0FE99AD1">
            <w:pPr>
              <w:shd w:val="clear"/>
              <w:jc w:val="center"/>
              <w:rPr>
                <w:rFonts w:hint="default" w:ascii="Times New Roman" w:hAnsi="Times New Roman" w:cs="Times New Roman" w:eastAsiaTheme="minorEastAsia"/>
                <w:color w:val="auto"/>
                <w:sz w:val="18"/>
                <w:szCs w:val="18"/>
                <w:highlight w:val="none"/>
                <w:lang w:val="en-US" w:eastAsia="zh-CN"/>
              </w:rPr>
            </w:pPr>
          </w:p>
        </w:tc>
      </w:tr>
      <w:tr w14:paraId="34D8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3" w:hRule="atLeast"/>
        </w:trPr>
        <w:tc>
          <w:tcPr>
            <w:tcW w:w="117" w:type="pct"/>
            <w:gridSpan w:val="2"/>
            <w:vMerge w:val="continue"/>
            <w:shd w:val="clear" w:color="auto" w:fill="auto"/>
            <w:tcMar>
              <w:top w:w="15" w:type="dxa"/>
              <w:left w:w="15" w:type="dxa"/>
              <w:right w:w="15" w:type="dxa"/>
            </w:tcMar>
            <w:vAlign w:val="center"/>
          </w:tcPr>
          <w:p w14:paraId="59F69919">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1C9A08B8">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5478E253">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19F6617B">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572B847A">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78321D2F">
            <w:pPr>
              <w:widowControl/>
              <w:shd w:val="clea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滴漏污水长度500米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1000米</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lang w:val="en-US" w:eastAsia="zh-CN"/>
              </w:rPr>
              <w:t>;</w:t>
            </w:r>
          </w:p>
          <w:p w14:paraId="1234E6D1">
            <w:pPr>
              <w:widowControl/>
              <w:shd w:val="clear"/>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val="en-US" w:eastAsia="zh-CN"/>
              </w:rPr>
              <w:t>3</w:t>
            </w:r>
            <w:r>
              <w:rPr>
                <w:rFonts w:hint="default" w:ascii="Times New Roman" w:hAnsi="Times New Roman" w:cs="Times New Roman" w:eastAsiaTheme="minorEastAsia"/>
                <w:color w:val="auto"/>
                <w:kern w:val="0"/>
                <w:sz w:val="18"/>
                <w:szCs w:val="18"/>
                <w:highlight w:val="none"/>
                <w:lang w:eastAsia="zh-CN"/>
              </w:rPr>
              <w:t>次以上同类违法行为且未造成市政道路设施损坏或交通安全事故等危害后果</w:t>
            </w:r>
          </w:p>
        </w:tc>
        <w:tc>
          <w:tcPr>
            <w:tcW w:w="545" w:type="pct"/>
            <w:gridSpan w:val="2"/>
            <w:shd w:val="clear" w:color="auto" w:fill="auto"/>
            <w:tcMar>
              <w:top w:w="15" w:type="dxa"/>
              <w:left w:w="15" w:type="dxa"/>
              <w:right w:w="15" w:type="dxa"/>
            </w:tcMar>
            <w:vAlign w:val="center"/>
          </w:tcPr>
          <w:p w14:paraId="7A8D4B2A">
            <w:pPr>
              <w:widowControl/>
              <w:shd w:val="clea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18.5万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36.5万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26E12220">
            <w:pPr>
              <w:widowControl/>
              <w:shd w:val="clear"/>
              <w:jc w:val="center"/>
              <w:textAlignment w:val="center"/>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5E641D0D">
            <w:pPr>
              <w:shd w:val="clear"/>
              <w:jc w:val="center"/>
              <w:rPr>
                <w:rFonts w:hint="default" w:ascii="Times New Roman" w:hAnsi="Times New Roman" w:cs="Times New Roman" w:eastAsiaTheme="minorEastAsia"/>
                <w:color w:val="auto"/>
                <w:sz w:val="18"/>
                <w:szCs w:val="18"/>
                <w:highlight w:val="none"/>
              </w:rPr>
            </w:pPr>
          </w:p>
        </w:tc>
      </w:tr>
      <w:tr w14:paraId="0111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8" w:hRule="atLeast"/>
        </w:trPr>
        <w:tc>
          <w:tcPr>
            <w:tcW w:w="117" w:type="pct"/>
            <w:gridSpan w:val="2"/>
            <w:vMerge w:val="continue"/>
            <w:shd w:val="clear" w:color="auto" w:fill="auto"/>
            <w:tcMar>
              <w:top w:w="15" w:type="dxa"/>
              <w:left w:w="15" w:type="dxa"/>
              <w:right w:w="15" w:type="dxa"/>
            </w:tcMar>
            <w:vAlign w:val="center"/>
          </w:tcPr>
          <w:p w14:paraId="7E431889">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598DD4A0">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3E605FF7">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27E997E1">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4BCE424F">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3169F80E">
            <w:pPr>
              <w:widowControl/>
              <w:shd w:val="clea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滴漏污水1000米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lang w:val="en-US" w:eastAsia="zh-CN"/>
              </w:rPr>
              <w:t>;</w:t>
            </w:r>
          </w:p>
          <w:p w14:paraId="4C03725C">
            <w:pPr>
              <w:widowControl/>
              <w:shd w:val="clear"/>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val="en-US" w:eastAsia="zh-CN"/>
              </w:rPr>
              <w:t>已</w:t>
            </w:r>
            <w:r>
              <w:rPr>
                <w:rFonts w:hint="default" w:ascii="Times New Roman" w:hAnsi="Times New Roman" w:cs="Times New Roman" w:eastAsiaTheme="minorEastAsia"/>
                <w:color w:val="auto"/>
                <w:kern w:val="0"/>
                <w:sz w:val="18"/>
                <w:szCs w:val="18"/>
                <w:highlight w:val="none"/>
                <w:lang w:eastAsia="zh-CN"/>
              </w:rPr>
              <w:t>造成市政道路设施损坏或交通安全事故等危害后果</w:t>
            </w:r>
          </w:p>
        </w:tc>
        <w:tc>
          <w:tcPr>
            <w:tcW w:w="545" w:type="pct"/>
            <w:gridSpan w:val="2"/>
            <w:shd w:val="clear" w:color="auto" w:fill="auto"/>
            <w:tcMar>
              <w:top w:w="15" w:type="dxa"/>
              <w:left w:w="15" w:type="dxa"/>
              <w:right w:w="15" w:type="dxa"/>
            </w:tcMar>
            <w:vAlign w:val="center"/>
          </w:tcPr>
          <w:p w14:paraId="674607E0">
            <w:pPr>
              <w:widowControl/>
              <w:shd w:val="clea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36.5万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50万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2DC42AA5">
            <w:pPr>
              <w:widowControl/>
              <w:shd w:val="clear"/>
              <w:jc w:val="center"/>
              <w:textAlignment w:val="center"/>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7A69A96B">
            <w:pPr>
              <w:shd w:val="clear"/>
              <w:jc w:val="center"/>
              <w:rPr>
                <w:rFonts w:hint="default" w:ascii="Times New Roman" w:hAnsi="Times New Roman" w:cs="Times New Roman" w:eastAsiaTheme="minorEastAsia"/>
                <w:color w:val="auto"/>
                <w:sz w:val="18"/>
                <w:szCs w:val="18"/>
                <w:highlight w:val="none"/>
              </w:rPr>
            </w:pPr>
          </w:p>
        </w:tc>
      </w:tr>
      <w:tr w14:paraId="0C7C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3" w:hRule="atLeast"/>
        </w:trPr>
        <w:tc>
          <w:tcPr>
            <w:tcW w:w="117" w:type="pct"/>
            <w:gridSpan w:val="2"/>
            <w:vMerge w:val="restart"/>
            <w:shd w:val="clear" w:color="auto" w:fill="auto"/>
            <w:tcMar>
              <w:top w:w="15" w:type="dxa"/>
              <w:left w:w="15" w:type="dxa"/>
              <w:right w:w="15" w:type="dxa"/>
            </w:tcMar>
            <w:vAlign w:val="center"/>
          </w:tcPr>
          <w:p w14:paraId="12FEA859">
            <w:pPr>
              <w:widowControl/>
              <w:shd w:val="clear"/>
              <w:jc w:val="center"/>
              <w:textAlignment w:val="center"/>
              <w:rPr>
                <w:rFonts w:hint="default" w:ascii="Times New Roman" w:hAnsi="Times New Roman" w:cs="Times New Roman" w:eastAsiaTheme="minorEastAsia"/>
                <w:strike/>
                <w:color w:val="auto"/>
                <w:sz w:val="18"/>
                <w:szCs w:val="18"/>
                <w:highlight w:val="none"/>
                <w:lang w:val="en-US"/>
              </w:rPr>
            </w:pPr>
            <w:r>
              <w:rPr>
                <w:rFonts w:hint="default" w:ascii="Times New Roman" w:hAnsi="Times New Roman" w:cs="Times New Roman" w:eastAsiaTheme="minorEastAsia"/>
                <w:strike w:val="0"/>
                <w:color w:val="auto"/>
                <w:kern w:val="0"/>
                <w:sz w:val="18"/>
                <w:szCs w:val="18"/>
                <w:highlight w:val="none"/>
                <w:lang w:val="en-US" w:eastAsia="zh-CN"/>
              </w:rPr>
              <w:t>22</w:t>
            </w:r>
          </w:p>
        </w:tc>
        <w:tc>
          <w:tcPr>
            <w:tcW w:w="411" w:type="pct"/>
            <w:gridSpan w:val="2"/>
            <w:vMerge w:val="restart"/>
            <w:shd w:val="clear" w:color="auto" w:fill="auto"/>
            <w:tcMar>
              <w:top w:w="15" w:type="dxa"/>
              <w:left w:w="15" w:type="dxa"/>
              <w:right w:w="15" w:type="dxa"/>
            </w:tcMar>
            <w:vAlign w:val="center"/>
          </w:tcPr>
          <w:p w14:paraId="17ABF626">
            <w:pPr>
              <w:widowControl/>
              <w:shd w:val="clear"/>
              <w:jc w:val="center"/>
              <w:textAlignment w:val="center"/>
              <w:rPr>
                <w:rFonts w:hint="default" w:ascii="Times New Roman" w:hAnsi="Times New Roman" w:cs="Times New Roman" w:eastAsiaTheme="minorEastAsia"/>
                <w:strike w:val="0"/>
                <w:color w:val="auto"/>
                <w:sz w:val="18"/>
                <w:szCs w:val="18"/>
                <w:highlight w:val="none"/>
                <w:lang w:eastAsia="zh-CN"/>
              </w:rPr>
            </w:pPr>
            <w:r>
              <w:rPr>
                <w:rFonts w:hint="default" w:ascii="Times New Roman" w:hAnsi="Times New Roman" w:cs="Times New Roman" w:eastAsiaTheme="minorEastAsia"/>
                <w:strike w:val="0"/>
                <w:color w:val="auto"/>
                <w:kern w:val="0"/>
                <w:sz w:val="18"/>
                <w:szCs w:val="18"/>
                <w:highlight w:val="none"/>
              </w:rPr>
              <w:t>从事城市生活垃圾经营性处置的企业未严格按照国家有关规定和技术标准，处置城市生活垃圾</w:t>
            </w:r>
            <w:r>
              <w:rPr>
                <w:rFonts w:hint="default" w:ascii="Times New Roman" w:hAnsi="Times New Roman" w:cs="Times New Roman" w:eastAsiaTheme="minorEastAsia"/>
                <w:strike w:val="0"/>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3DB457D7">
            <w:pPr>
              <w:widowControl/>
              <w:numPr>
                <w:ilvl w:val="-1"/>
                <w:numId w:val="0"/>
              </w:numPr>
              <w:shd w:val="clear"/>
              <w:jc w:val="left"/>
              <w:textAlignment w:val="center"/>
              <w:rPr>
                <w:rFonts w:hint="default" w:ascii="Times New Roman" w:hAnsi="Times New Roman" w:cs="Times New Roman" w:eastAsiaTheme="minorEastAsia"/>
                <w:strike w:val="0"/>
                <w:color w:val="auto"/>
                <w:kern w:val="0"/>
                <w:sz w:val="18"/>
                <w:szCs w:val="18"/>
                <w:highlight w:val="none"/>
              </w:rPr>
            </w:pPr>
            <w:r>
              <w:rPr>
                <w:rFonts w:hint="default" w:ascii="Times New Roman" w:hAnsi="Times New Roman" w:cs="Times New Roman" w:eastAsiaTheme="minorEastAsia"/>
                <w:strike w:val="0"/>
                <w:color w:val="auto"/>
                <w:kern w:val="0"/>
                <w:sz w:val="18"/>
                <w:szCs w:val="18"/>
                <w:highlight w:val="none"/>
              </w:rPr>
              <w:t>《城市生活垃圾管理办法》第二十八条</w:t>
            </w:r>
            <w:r>
              <w:rPr>
                <w:rFonts w:hint="default" w:ascii="Times New Roman" w:hAnsi="Times New Roman" w:cs="Times New Roman" w:eastAsiaTheme="minorEastAsia"/>
                <w:strike w:val="0"/>
                <w:color w:val="auto"/>
                <w:kern w:val="0"/>
                <w:sz w:val="18"/>
                <w:szCs w:val="18"/>
                <w:highlight w:val="none"/>
                <w:lang w:eastAsia="zh-CN"/>
              </w:rPr>
              <w:t>第一项</w:t>
            </w:r>
            <w:r>
              <w:rPr>
                <w:rFonts w:hint="default" w:ascii="Times New Roman" w:hAnsi="Times New Roman" w:cs="Times New Roman" w:eastAsiaTheme="minorEastAsia"/>
                <w:strike w:val="0"/>
                <w:color w:val="auto"/>
                <w:kern w:val="0"/>
                <w:sz w:val="18"/>
                <w:szCs w:val="18"/>
                <w:highlight w:val="none"/>
              </w:rPr>
              <w:t>：“从事城市生活垃圾经营性处置的企业应当履行以下义务：（一）严格按照国家有关规定和技术标准，处置城市生活垃圾；”</w:t>
            </w:r>
          </w:p>
        </w:tc>
        <w:tc>
          <w:tcPr>
            <w:tcW w:w="1314" w:type="pct"/>
            <w:gridSpan w:val="2"/>
            <w:vMerge w:val="restart"/>
            <w:shd w:val="clear" w:color="auto" w:fill="auto"/>
            <w:tcMar>
              <w:top w:w="15" w:type="dxa"/>
              <w:left w:w="15" w:type="dxa"/>
              <w:right w:w="15" w:type="dxa"/>
            </w:tcMar>
            <w:vAlign w:val="center"/>
          </w:tcPr>
          <w:p w14:paraId="4E022D79">
            <w:pPr>
              <w:widowControl/>
              <w:numPr>
                <w:ilvl w:val="-1"/>
                <w:numId w:val="0"/>
              </w:numPr>
              <w:shd w:val="clear"/>
              <w:jc w:val="left"/>
              <w:textAlignment w:val="center"/>
              <w:rPr>
                <w:rFonts w:hint="default" w:ascii="Times New Roman" w:hAnsi="Times New Roman" w:cs="Times New Roman" w:eastAsiaTheme="minorEastAsia"/>
                <w:strike w:val="0"/>
                <w:color w:val="auto"/>
                <w:kern w:val="0"/>
                <w:sz w:val="18"/>
                <w:szCs w:val="18"/>
                <w:highlight w:val="none"/>
              </w:rPr>
            </w:pPr>
            <w:r>
              <w:rPr>
                <w:rFonts w:hint="default" w:ascii="Times New Roman" w:hAnsi="Times New Roman" w:cs="Times New Roman" w:eastAsiaTheme="minorEastAsia"/>
                <w:strike w:val="0"/>
                <w:color w:val="auto"/>
                <w:kern w:val="0"/>
                <w:sz w:val="18"/>
                <w:szCs w:val="18"/>
                <w:highlight w:val="none"/>
              </w:rPr>
              <w:t>《城市生活垃圾管理办法》第四十五条：“……城市生活垃圾经营性处置企业不履行本办法第二十八条规定义务的，由直辖市、市、县人民政府建设（环境卫生）主管部门责令限期改正，并可处以3万元以上10万元以下的罚款。造成损失的，依法承担赔偿责任。”</w:t>
            </w:r>
          </w:p>
          <w:p w14:paraId="51EF93FB">
            <w:pPr>
              <w:widowControl/>
              <w:numPr>
                <w:ilvl w:val="-1"/>
                <w:numId w:val="0"/>
              </w:numPr>
              <w:shd w:val="clear"/>
              <w:jc w:val="left"/>
              <w:textAlignment w:val="center"/>
              <w:rPr>
                <w:rFonts w:hint="default" w:ascii="Times New Roman" w:hAnsi="Times New Roman" w:cs="Times New Roman" w:eastAsiaTheme="minorEastAsia"/>
                <w:strike w:val="0"/>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5E3BBC69">
            <w:pPr>
              <w:widowControl/>
              <w:shd w:val="clear"/>
              <w:jc w:val="center"/>
              <w:textAlignment w:val="center"/>
              <w:rPr>
                <w:rFonts w:hint="default" w:ascii="Times New Roman" w:hAnsi="Times New Roman" w:cs="Times New Roman" w:eastAsiaTheme="minorEastAsia"/>
                <w:strike w:val="0"/>
                <w:color w:val="auto"/>
                <w:sz w:val="18"/>
                <w:szCs w:val="18"/>
                <w:highlight w:val="none"/>
                <w:lang w:eastAsia="zh-CN"/>
              </w:rPr>
            </w:pPr>
            <w:r>
              <w:rPr>
                <w:rFonts w:hint="eastAsia" w:ascii="Times New Roman" w:hAnsi="Times New Roman" w:cs="Times New Roman"/>
                <w:strike w:val="0"/>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0CED3700">
            <w:pPr>
              <w:widowControl/>
              <w:shd w:val="clear"/>
              <w:jc w:val="left"/>
              <w:textAlignment w:val="center"/>
              <w:rPr>
                <w:rFonts w:hint="default" w:ascii="Times New Roman" w:hAnsi="Times New Roman" w:cs="Times New Roman" w:eastAsiaTheme="minorEastAsia"/>
                <w:strike w:val="0"/>
                <w:color w:val="auto"/>
                <w:sz w:val="18"/>
                <w:szCs w:val="18"/>
                <w:highlight w:val="none"/>
              </w:rPr>
            </w:pPr>
            <w:r>
              <w:rPr>
                <w:rFonts w:hint="default" w:ascii="Times New Roman" w:hAnsi="Times New Roman" w:cs="Times New Roman" w:eastAsiaTheme="minorEastAsia"/>
                <w:strike w:val="0"/>
                <w:color w:val="auto"/>
                <w:kern w:val="0"/>
                <w:sz w:val="18"/>
                <w:szCs w:val="18"/>
                <w:highlight w:val="none"/>
              </w:rPr>
              <w:t>未严格按照国家有关规定和技术标准处置城市生活垃圾10立方米</w:t>
            </w:r>
            <w:r>
              <w:rPr>
                <w:rFonts w:hint="default" w:ascii="Times New Roman" w:hAnsi="Times New Roman" w:cs="Times New Roman" w:eastAsiaTheme="minorEastAsia"/>
                <w:strike w:val="0"/>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2E2D3763">
            <w:pPr>
              <w:widowControl/>
              <w:shd w:val="clear"/>
              <w:jc w:val="left"/>
              <w:textAlignment w:val="center"/>
              <w:rPr>
                <w:rFonts w:hint="default" w:ascii="Times New Roman" w:hAnsi="Times New Roman" w:cs="Times New Roman" w:eastAsiaTheme="minorEastAsia"/>
                <w:strike w:val="0"/>
                <w:color w:val="auto"/>
                <w:sz w:val="18"/>
                <w:szCs w:val="18"/>
                <w:highlight w:val="none"/>
              </w:rPr>
            </w:pPr>
            <w:r>
              <w:rPr>
                <w:rFonts w:hint="default" w:ascii="Times New Roman" w:hAnsi="Times New Roman" w:cs="Times New Roman" w:eastAsiaTheme="minorEastAsia"/>
                <w:strike w:val="0"/>
                <w:color w:val="auto"/>
                <w:kern w:val="0"/>
                <w:sz w:val="18"/>
                <w:szCs w:val="18"/>
                <w:highlight w:val="none"/>
              </w:rPr>
              <w:t>可处以</w:t>
            </w:r>
            <w:r>
              <w:rPr>
                <w:rFonts w:hint="default" w:ascii="Times New Roman" w:hAnsi="Times New Roman" w:cs="Times New Roman" w:eastAsiaTheme="minorEastAsia"/>
                <w:strike w:val="0"/>
                <w:color w:val="auto"/>
                <w:kern w:val="0"/>
                <w:sz w:val="18"/>
                <w:szCs w:val="18"/>
                <w:highlight w:val="none"/>
                <w:lang w:val="en-US"/>
              </w:rPr>
              <w:t>3万</w:t>
            </w:r>
            <w:r>
              <w:rPr>
                <w:rFonts w:hint="default" w:ascii="Times New Roman" w:hAnsi="Times New Roman" w:cs="Times New Roman" w:eastAsiaTheme="minorEastAsia"/>
                <w:strike w:val="0"/>
                <w:color w:val="auto"/>
                <w:kern w:val="0"/>
                <w:sz w:val="18"/>
                <w:szCs w:val="18"/>
                <w:highlight w:val="none"/>
              </w:rPr>
              <w:t>元以上</w:t>
            </w:r>
            <w:r>
              <w:rPr>
                <w:rFonts w:hint="default" w:ascii="Times New Roman" w:hAnsi="Times New Roman" w:cs="Times New Roman" w:eastAsiaTheme="minorEastAsia"/>
                <w:strike w:val="0"/>
                <w:color w:val="auto"/>
                <w:kern w:val="0"/>
                <w:sz w:val="18"/>
                <w:szCs w:val="18"/>
                <w:highlight w:val="none"/>
                <w:lang w:val="en-US" w:eastAsia="zh-CN"/>
              </w:rPr>
              <w:t>5.1万</w:t>
            </w:r>
            <w:r>
              <w:rPr>
                <w:rFonts w:hint="default" w:ascii="Times New Roman" w:hAnsi="Times New Roman" w:cs="Times New Roman" w:eastAsiaTheme="minorEastAsia"/>
                <w:strike w:val="0"/>
                <w:color w:val="auto"/>
                <w:kern w:val="0"/>
                <w:sz w:val="18"/>
                <w:szCs w:val="18"/>
                <w:highlight w:val="none"/>
              </w:rPr>
              <w:t>元以下的罚款</w:t>
            </w:r>
          </w:p>
        </w:tc>
        <w:tc>
          <w:tcPr>
            <w:tcW w:w="200" w:type="pct"/>
            <w:gridSpan w:val="2"/>
            <w:vMerge w:val="restart"/>
            <w:shd w:val="clear" w:color="auto" w:fill="auto"/>
            <w:tcMar>
              <w:top w:w="15" w:type="dxa"/>
              <w:left w:w="15" w:type="dxa"/>
              <w:right w:w="15" w:type="dxa"/>
            </w:tcMar>
            <w:vAlign w:val="center"/>
          </w:tcPr>
          <w:p w14:paraId="00CB3284">
            <w:pPr>
              <w:widowControl/>
              <w:shd w:val="clear"/>
              <w:jc w:val="left"/>
              <w:textAlignment w:val="center"/>
              <w:rPr>
                <w:rFonts w:hint="default" w:ascii="Times New Roman" w:hAnsi="Times New Roman" w:cs="Times New Roman" w:eastAsiaTheme="minorEastAsia"/>
                <w:strike w:val="0"/>
                <w:color w:val="auto"/>
                <w:kern w:val="0"/>
                <w:sz w:val="18"/>
                <w:szCs w:val="18"/>
                <w:highlight w:val="none"/>
              </w:rPr>
            </w:pPr>
            <w:r>
              <w:rPr>
                <w:rFonts w:hint="default" w:ascii="Times New Roman" w:hAnsi="Times New Roman" w:cs="Times New Roman" w:eastAsiaTheme="minorEastAsia"/>
                <w:strike w:val="0"/>
                <w:color w:val="auto"/>
                <w:kern w:val="0"/>
                <w:sz w:val="18"/>
                <w:szCs w:val="18"/>
                <w:highlight w:val="none"/>
              </w:rPr>
              <w:t>责令限期改正</w:t>
            </w:r>
            <w:r>
              <w:rPr>
                <w:rFonts w:hint="default" w:ascii="Times New Roman" w:hAnsi="Times New Roman" w:cs="Times New Roman" w:eastAsiaTheme="minorEastAsia"/>
                <w:strike w:val="0"/>
                <w:color w:val="auto"/>
                <w:kern w:val="0"/>
                <w:sz w:val="18"/>
                <w:szCs w:val="18"/>
                <w:highlight w:val="none"/>
                <w:lang w:eastAsia="zh-CN"/>
              </w:rPr>
              <w:t>，</w:t>
            </w:r>
            <w:r>
              <w:rPr>
                <w:rFonts w:hint="default" w:ascii="Times New Roman" w:hAnsi="Times New Roman" w:cs="Times New Roman" w:eastAsiaTheme="minorEastAsia"/>
                <w:strike w:val="0"/>
                <w:color w:val="auto"/>
                <w:kern w:val="0"/>
                <w:sz w:val="18"/>
                <w:szCs w:val="18"/>
                <w:highlight w:val="none"/>
              </w:rPr>
              <w:t>造成损失的，依法承担赔偿责任</w:t>
            </w:r>
          </w:p>
          <w:p w14:paraId="47689ABF">
            <w:pPr>
              <w:widowControl/>
              <w:shd w:val="clear"/>
              <w:jc w:val="left"/>
              <w:textAlignment w:val="center"/>
              <w:rPr>
                <w:rFonts w:hint="default" w:ascii="Times New Roman" w:hAnsi="Times New Roman" w:cs="Times New Roman" w:eastAsiaTheme="minorEastAsia"/>
                <w:strike w:val="0"/>
                <w:color w:val="auto"/>
                <w:sz w:val="18"/>
                <w:szCs w:val="18"/>
                <w:highlight w:val="none"/>
                <w:lang w:eastAsia="zh-CN"/>
              </w:rPr>
            </w:pPr>
          </w:p>
          <w:p w14:paraId="1C952FB2">
            <w:pPr>
              <w:widowControl/>
              <w:shd w:val="clear"/>
              <w:jc w:val="left"/>
              <w:textAlignment w:val="center"/>
              <w:rPr>
                <w:rFonts w:hint="default" w:ascii="Times New Roman" w:hAnsi="Times New Roman" w:cs="Times New Roman" w:eastAsiaTheme="minorEastAsia"/>
                <w:strike w:val="0"/>
                <w:color w:val="auto"/>
                <w:sz w:val="18"/>
                <w:szCs w:val="18"/>
                <w:highlight w:val="none"/>
                <w:lang w:eastAsia="zh-CN"/>
              </w:rPr>
            </w:pPr>
          </w:p>
        </w:tc>
        <w:tc>
          <w:tcPr>
            <w:tcW w:w="390" w:type="pct"/>
            <w:gridSpan w:val="3"/>
            <w:vMerge w:val="restart"/>
            <w:shd w:val="clear" w:color="auto" w:fill="auto"/>
            <w:tcMar>
              <w:top w:w="15" w:type="dxa"/>
              <w:left w:w="15" w:type="dxa"/>
              <w:right w:w="15" w:type="dxa"/>
            </w:tcMar>
            <w:vAlign w:val="center"/>
          </w:tcPr>
          <w:p w14:paraId="7CABB1E2">
            <w:pPr>
              <w:shd w:val="clear"/>
              <w:rPr>
                <w:rFonts w:hint="default" w:ascii="Times New Roman" w:hAnsi="Times New Roman" w:cs="Times New Roman" w:eastAsiaTheme="minorEastAsia"/>
                <w:strike w:val="0"/>
                <w:color w:val="auto"/>
                <w:sz w:val="18"/>
                <w:szCs w:val="18"/>
                <w:highlight w:val="none"/>
                <w:lang w:eastAsia="zh-CN"/>
              </w:rPr>
            </w:pPr>
          </w:p>
        </w:tc>
      </w:tr>
      <w:tr w14:paraId="79E9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117" w:type="pct"/>
            <w:gridSpan w:val="2"/>
            <w:vMerge w:val="continue"/>
            <w:shd w:val="clear" w:color="auto" w:fill="auto"/>
            <w:tcMar>
              <w:top w:w="15" w:type="dxa"/>
              <w:left w:w="15" w:type="dxa"/>
              <w:right w:w="15" w:type="dxa"/>
            </w:tcMar>
            <w:vAlign w:val="center"/>
          </w:tcPr>
          <w:p w14:paraId="63F3AAB9">
            <w:pPr>
              <w:shd w:val="clear"/>
              <w:jc w:val="center"/>
              <w:rPr>
                <w:rFonts w:hint="default" w:ascii="Times New Roman" w:hAnsi="Times New Roman" w:cs="Times New Roman" w:eastAsiaTheme="minorEastAsia"/>
                <w:strike/>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224A8847">
            <w:pPr>
              <w:shd w:val="clear"/>
              <w:jc w:val="center"/>
              <w:rPr>
                <w:rFonts w:hint="default" w:ascii="Times New Roman" w:hAnsi="Times New Roman" w:cs="Times New Roman" w:eastAsiaTheme="minorEastAsia"/>
                <w:strike/>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5B205B57">
            <w:pPr>
              <w:shd w:val="clear"/>
              <w:jc w:val="left"/>
              <w:rPr>
                <w:rFonts w:hint="default" w:ascii="Times New Roman" w:hAnsi="Times New Roman" w:cs="Times New Roman" w:eastAsiaTheme="minorEastAsia"/>
                <w:strike/>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35D2F3EF">
            <w:pPr>
              <w:shd w:val="clear"/>
              <w:jc w:val="left"/>
              <w:rPr>
                <w:rFonts w:hint="default" w:ascii="Times New Roman" w:hAnsi="Times New Roman" w:cs="Times New Roman" w:eastAsiaTheme="minorEastAsia"/>
                <w:strike/>
                <w:color w:val="auto"/>
                <w:sz w:val="18"/>
                <w:szCs w:val="18"/>
                <w:highlight w:val="none"/>
              </w:rPr>
            </w:pPr>
          </w:p>
        </w:tc>
        <w:tc>
          <w:tcPr>
            <w:tcW w:w="177" w:type="pct"/>
            <w:gridSpan w:val="2"/>
            <w:shd w:val="clear" w:color="auto" w:fill="auto"/>
            <w:tcMar>
              <w:top w:w="15" w:type="dxa"/>
              <w:left w:w="15" w:type="dxa"/>
              <w:right w:w="15" w:type="dxa"/>
            </w:tcMar>
            <w:vAlign w:val="center"/>
          </w:tcPr>
          <w:p w14:paraId="627201A0">
            <w:pPr>
              <w:widowControl/>
              <w:shd w:val="clear"/>
              <w:jc w:val="center"/>
              <w:textAlignment w:val="center"/>
              <w:rPr>
                <w:rFonts w:hint="default" w:ascii="Times New Roman" w:hAnsi="Times New Roman" w:cs="Times New Roman" w:eastAsiaTheme="minorEastAsia"/>
                <w:strike w:val="0"/>
                <w:color w:val="auto"/>
                <w:sz w:val="18"/>
                <w:szCs w:val="18"/>
                <w:highlight w:val="none"/>
              </w:rPr>
            </w:pPr>
            <w:r>
              <w:rPr>
                <w:rFonts w:hint="default" w:ascii="Times New Roman" w:hAnsi="Times New Roman" w:cs="Times New Roman" w:eastAsiaTheme="minorEastAsia"/>
                <w:strike w:val="0"/>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6FF4CFBF">
            <w:pPr>
              <w:widowControl/>
              <w:shd w:val="clear"/>
              <w:jc w:val="left"/>
              <w:textAlignment w:val="center"/>
              <w:rPr>
                <w:rFonts w:hint="default" w:ascii="Times New Roman" w:hAnsi="Times New Roman" w:cs="Times New Roman" w:eastAsiaTheme="minorEastAsia"/>
                <w:strike w:val="0"/>
                <w:color w:val="auto"/>
                <w:sz w:val="18"/>
                <w:szCs w:val="18"/>
                <w:highlight w:val="none"/>
              </w:rPr>
            </w:pPr>
            <w:r>
              <w:rPr>
                <w:rFonts w:hint="default" w:ascii="Times New Roman" w:hAnsi="Times New Roman" w:cs="Times New Roman" w:eastAsiaTheme="minorEastAsia"/>
                <w:strike w:val="0"/>
                <w:color w:val="auto"/>
                <w:kern w:val="0"/>
                <w:sz w:val="18"/>
                <w:szCs w:val="18"/>
                <w:highlight w:val="none"/>
              </w:rPr>
              <w:t>未严格按照国家有关规定和技术标准处置城市生活垃圾10立方米</w:t>
            </w:r>
            <w:r>
              <w:rPr>
                <w:rFonts w:hint="default" w:ascii="Times New Roman" w:hAnsi="Times New Roman" w:cs="Times New Roman" w:eastAsiaTheme="minorEastAsia"/>
                <w:strike w:val="0"/>
                <w:color w:val="auto"/>
                <w:kern w:val="0"/>
                <w:sz w:val="18"/>
                <w:szCs w:val="18"/>
                <w:highlight w:val="none"/>
                <w:lang w:eastAsia="zh-CN"/>
              </w:rPr>
              <w:t>以上</w:t>
            </w:r>
            <w:r>
              <w:rPr>
                <w:rFonts w:hint="default" w:ascii="Times New Roman" w:hAnsi="Times New Roman" w:cs="Times New Roman" w:eastAsiaTheme="minorEastAsia"/>
                <w:strike w:val="0"/>
                <w:color w:val="auto"/>
                <w:kern w:val="0"/>
                <w:sz w:val="18"/>
                <w:szCs w:val="18"/>
                <w:highlight w:val="none"/>
              </w:rPr>
              <w:t>30立方米</w:t>
            </w:r>
            <w:r>
              <w:rPr>
                <w:rFonts w:hint="default" w:ascii="Times New Roman" w:hAnsi="Times New Roman" w:cs="Times New Roman" w:eastAsiaTheme="minorEastAsia"/>
                <w:strike w:val="0"/>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01CAD155">
            <w:pPr>
              <w:widowControl/>
              <w:shd w:val="clear"/>
              <w:jc w:val="left"/>
              <w:textAlignment w:val="center"/>
              <w:rPr>
                <w:rFonts w:hint="default" w:ascii="Times New Roman" w:hAnsi="Times New Roman" w:cs="Times New Roman" w:eastAsiaTheme="minorEastAsia"/>
                <w:strike w:val="0"/>
                <w:color w:val="auto"/>
                <w:sz w:val="18"/>
                <w:szCs w:val="18"/>
                <w:highlight w:val="none"/>
              </w:rPr>
            </w:pPr>
            <w:r>
              <w:rPr>
                <w:rFonts w:hint="default" w:ascii="Times New Roman" w:hAnsi="Times New Roman" w:cs="Times New Roman" w:eastAsiaTheme="minorEastAsia"/>
                <w:strike w:val="0"/>
                <w:color w:val="auto"/>
                <w:kern w:val="0"/>
                <w:sz w:val="18"/>
                <w:szCs w:val="18"/>
                <w:highlight w:val="none"/>
              </w:rPr>
              <w:t>可处以</w:t>
            </w:r>
            <w:r>
              <w:rPr>
                <w:rFonts w:hint="default" w:ascii="Times New Roman" w:hAnsi="Times New Roman" w:cs="Times New Roman" w:eastAsiaTheme="minorEastAsia"/>
                <w:strike w:val="0"/>
                <w:color w:val="auto"/>
                <w:kern w:val="0"/>
                <w:sz w:val="18"/>
                <w:szCs w:val="18"/>
                <w:highlight w:val="none"/>
                <w:lang w:val="en-US" w:eastAsia="zh-CN"/>
              </w:rPr>
              <w:t>5.1万</w:t>
            </w:r>
            <w:r>
              <w:rPr>
                <w:rFonts w:hint="default" w:ascii="Times New Roman" w:hAnsi="Times New Roman" w:cs="Times New Roman" w:eastAsiaTheme="minorEastAsia"/>
                <w:strike w:val="0"/>
                <w:color w:val="auto"/>
                <w:kern w:val="0"/>
                <w:sz w:val="18"/>
                <w:szCs w:val="18"/>
                <w:highlight w:val="none"/>
              </w:rPr>
              <w:t>元以上</w:t>
            </w:r>
            <w:r>
              <w:rPr>
                <w:rFonts w:hint="default" w:ascii="Times New Roman" w:hAnsi="Times New Roman" w:cs="Times New Roman" w:eastAsiaTheme="minorEastAsia"/>
                <w:strike w:val="0"/>
                <w:color w:val="auto"/>
                <w:kern w:val="0"/>
                <w:sz w:val="18"/>
                <w:szCs w:val="18"/>
                <w:highlight w:val="none"/>
                <w:lang w:val="en-US" w:eastAsia="zh-CN"/>
              </w:rPr>
              <w:t>7.9万</w:t>
            </w:r>
            <w:r>
              <w:rPr>
                <w:rFonts w:hint="default" w:ascii="Times New Roman" w:hAnsi="Times New Roman" w:cs="Times New Roman" w:eastAsiaTheme="minorEastAsia"/>
                <w:strike w:val="0"/>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7F0EED5F">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p>
        </w:tc>
        <w:tc>
          <w:tcPr>
            <w:tcW w:w="390" w:type="pct"/>
            <w:gridSpan w:val="3"/>
            <w:vMerge w:val="continue"/>
            <w:shd w:val="clear" w:color="auto" w:fill="auto"/>
            <w:tcMar>
              <w:top w:w="15" w:type="dxa"/>
              <w:left w:w="15" w:type="dxa"/>
              <w:right w:w="15" w:type="dxa"/>
            </w:tcMar>
            <w:vAlign w:val="center"/>
          </w:tcPr>
          <w:p w14:paraId="351E4508">
            <w:pPr>
              <w:shd w:val="clear"/>
              <w:rPr>
                <w:rFonts w:hint="default" w:ascii="Times New Roman" w:hAnsi="Times New Roman" w:cs="Times New Roman" w:eastAsiaTheme="minorEastAsia"/>
                <w:color w:val="auto"/>
                <w:sz w:val="18"/>
                <w:szCs w:val="18"/>
                <w:highlight w:val="none"/>
              </w:rPr>
            </w:pPr>
          </w:p>
        </w:tc>
      </w:tr>
      <w:tr w14:paraId="3B20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117" w:type="pct"/>
            <w:gridSpan w:val="2"/>
            <w:vMerge w:val="continue"/>
            <w:shd w:val="clear" w:color="auto" w:fill="auto"/>
            <w:tcMar>
              <w:top w:w="15" w:type="dxa"/>
              <w:left w:w="15" w:type="dxa"/>
              <w:right w:w="15" w:type="dxa"/>
            </w:tcMar>
            <w:vAlign w:val="center"/>
          </w:tcPr>
          <w:p w14:paraId="6AC21BCE">
            <w:pPr>
              <w:shd w:val="clear"/>
              <w:jc w:val="center"/>
              <w:rPr>
                <w:rFonts w:hint="default" w:ascii="Times New Roman" w:hAnsi="Times New Roman" w:cs="Times New Roman" w:eastAsiaTheme="minorEastAsia"/>
                <w:strike/>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208396D8">
            <w:pPr>
              <w:shd w:val="clear"/>
              <w:jc w:val="center"/>
              <w:rPr>
                <w:rFonts w:hint="default" w:ascii="Times New Roman" w:hAnsi="Times New Roman" w:cs="Times New Roman" w:eastAsiaTheme="minorEastAsia"/>
                <w:strike/>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6972CCD3">
            <w:pPr>
              <w:shd w:val="clear"/>
              <w:jc w:val="left"/>
              <w:rPr>
                <w:rFonts w:hint="default" w:ascii="Times New Roman" w:hAnsi="Times New Roman" w:cs="Times New Roman" w:eastAsiaTheme="minorEastAsia"/>
                <w:strike/>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1D331E75">
            <w:pPr>
              <w:shd w:val="clear"/>
              <w:jc w:val="left"/>
              <w:rPr>
                <w:rFonts w:hint="default" w:ascii="Times New Roman" w:hAnsi="Times New Roman" w:cs="Times New Roman" w:eastAsiaTheme="minorEastAsia"/>
                <w:strike/>
                <w:color w:val="auto"/>
                <w:sz w:val="18"/>
                <w:szCs w:val="18"/>
                <w:highlight w:val="none"/>
              </w:rPr>
            </w:pPr>
          </w:p>
        </w:tc>
        <w:tc>
          <w:tcPr>
            <w:tcW w:w="177" w:type="pct"/>
            <w:gridSpan w:val="2"/>
            <w:shd w:val="clear" w:color="auto" w:fill="auto"/>
            <w:tcMar>
              <w:top w:w="15" w:type="dxa"/>
              <w:left w:w="15" w:type="dxa"/>
              <w:right w:w="15" w:type="dxa"/>
            </w:tcMar>
            <w:vAlign w:val="center"/>
          </w:tcPr>
          <w:p w14:paraId="77F0531E">
            <w:pPr>
              <w:widowControl/>
              <w:shd w:val="clear"/>
              <w:jc w:val="center"/>
              <w:textAlignment w:val="center"/>
              <w:rPr>
                <w:rFonts w:hint="default" w:ascii="Times New Roman" w:hAnsi="Times New Roman" w:cs="Times New Roman" w:eastAsiaTheme="minorEastAsia"/>
                <w:strike w:val="0"/>
                <w:color w:val="auto"/>
                <w:sz w:val="18"/>
                <w:szCs w:val="18"/>
                <w:highlight w:val="none"/>
                <w:lang w:eastAsia="zh-CN"/>
              </w:rPr>
            </w:pPr>
            <w:r>
              <w:rPr>
                <w:rFonts w:hint="eastAsia" w:ascii="Times New Roman" w:hAnsi="Times New Roman" w:cs="Times New Roman"/>
                <w:strike w:val="0"/>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5F11908C">
            <w:pPr>
              <w:widowControl/>
              <w:shd w:val="clear"/>
              <w:jc w:val="left"/>
              <w:textAlignment w:val="center"/>
              <w:rPr>
                <w:rFonts w:hint="default" w:ascii="Times New Roman" w:hAnsi="Times New Roman" w:cs="Times New Roman" w:eastAsiaTheme="minorEastAsia"/>
                <w:strike w:val="0"/>
                <w:color w:val="auto"/>
                <w:sz w:val="18"/>
                <w:szCs w:val="18"/>
                <w:highlight w:val="none"/>
              </w:rPr>
            </w:pPr>
            <w:r>
              <w:rPr>
                <w:rFonts w:hint="default" w:ascii="Times New Roman" w:hAnsi="Times New Roman" w:cs="Times New Roman" w:eastAsiaTheme="minorEastAsia"/>
                <w:strike w:val="0"/>
                <w:color w:val="auto"/>
                <w:kern w:val="0"/>
                <w:sz w:val="18"/>
                <w:szCs w:val="18"/>
                <w:highlight w:val="none"/>
              </w:rPr>
              <w:t>未严格按照国家有关规定和技术标准处置城市生活垃圾30立方米</w:t>
            </w:r>
            <w:r>
              <w:rPr>
                <w:rFonts w:hint="default" w:ascii="Times New Roman" w:hAnsi="Times New Roman" w:cs="Times New Roman" w:eastAsiaTheme="minorEastAsia"/>
                <w:strike w:val="0"/>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38938603">
            <w:pPr>
              <w:widowControl/>
              <w:shd w:val="clear"/>
              <w:jc w:val="left"/>
              <w:textAlignment w:val="center"/>
              <w:rPr>
                <w:rFonts w:hint="default" w:ascii="Times New Roman" w:hAnsi="Times New Roman" w:cs="Times New Roman" w:eastAsiaTheme="minorEastAsia"/>
                <w:strike w:val="0"/>
                <w:color w:val="auto"/>
                <w:sz w:val="18"/>
                <w:szCs w:val="18"/>
                <w:highlight w:val="none"/>
              </w:rPr>
            </w:pPr>
            <w:r>
              <w:rPr>
                <w:rFonts w:hint="default" w:ascii="Times New Roman" w:hAnsi="Times New Roman" w:cs="Times New Roman" w:eastAsiaTheme="minorEastAsia"/>
                <w:strike w:val="0"/>
                <w:color w:val="auto"/>
                <w:kern w:val="0"/>
                <w:sz w:val="18"/>
                <w:szCs w:val="18"/>
                <w:highlight w:val="none"/>
              </w:rPr>
              <w:t>可处以</w:t>
            </w:r>
            <w:r>
              <w:rPr>
                <w:rFonts w:hint="default" w:ascii="Times New Roman" w:hAnsi="Times New Roman" w:cs="Times New Roman" w:eastAsiaTheme="minorEastAsia"/>
                <w:strike w:val="0"/>
                <w:color w:val="auto"/>
                <w:kern w:val="0"/>
                <w:sz w:val="18"/>
                <w:szCs w:val="18"/>
                <w:highlight w:val="none"/>
                <w:lang w:val="en-US" w:eastAsia="zh-CN"/>
              </w:rPr>
              <w:t>7.9万</w:t>
            </w:r>
            <w:r>
              <w:rPr>
                <w:rFonts w:hint="default" w:ascii="Times New Roman" w:hAnsi="Times New Roman" w:cs="Times New Roman" w:eastAsiaTheme="minorEastAsia"/>
                <w:strike w:val="0"/>
                <w:color w:val="auto"/>
                <w:kern w:val="0"/>
                <w:sz w:val="18"/>
                <w:szCs w:val="18"/>
                <w:highlight w:val="none"/>
              </w:rPr>
              <w:t>元以上</w:t>
            </w:r>
            <w:r>
              <w:rPr>
                <w:rFonts w:hint="default" w:ascii="Times New Roman" w:hAnsi="Times New Roman" w:cs="Times New Roman" w:eastAsiaTheme="minorEastAsia"/>
                <w:strike w:val="0"/>
                <w:color w:val="auto"/>
                <w:kern w:val="0"/>
                <w:sz w:val="18"/>
                <w:szCs w:val="18"/>
                <w:highlight w:val="none"/>
                <w:lang w:val="en-US"/>
              </w:rPr>
              <w:t>10万</w:t>
            </w:r>
            <w:r>
              <w:rPr>
                <w:rFonts w:hint="default" w:ascii="Times New Roman" w:hAnsi="Times New Roman" w:cs="Times New Roman" w:eastAsiaTheme="minorEastAsia"/>
                <w:strike w:val="0"/>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71C3F5BB">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p>
        </w:tc>
        <w:tc>
          <w:tcPr>
            <w:tcW w:w="390" w:type="pct"/>
            <w:gridSpan w:val="3"/>
            <w:vMerge w:val="continue"/>
            <w:shd w:val="clear" w:color="auto" w:fill="auto"/>
            <w:tcMar>
              <w:top w:w="15" w:type="dxa"/>
              <w:left w:w="15" w:type="dxa"/>
              <w:right w:w="15" w:type="dxa"/>
            </w:tcMar>
            <w:vAlign w:val="center"/>
          </w:tcPr>
          <w:p w14:paraId="0E7E17FF">
            <w:pPr>
              <w:shd w:val="clear"/>
              <w:rPr>
                <w:rFonts w:hint="default" w:ascii="Times New Roman" w:hAnsi="Times New Roman" w:cs="Times New Roman" w:eastAsiaTheme="minorEastAsia"/>
                <w:color w:val="auto"/>
                <w:sz w:val="18"/>
                <w:szCs w:val="18"/>
                <w:highlight w:val="none"/>
              </w:rPr>
            </w:pPr>
          </w:p>
        </w:tc>
      </w:tr>
      <w:tr w14:paraId="600E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6" w:hRule="atLeast"/>
        </w:trPr>
        <w:tc>
          <w:tcPr>
            <w:tcW w:w="117" w:type="pct"/>
            <w:gridSpan w:val="2"/>
            <w:vMerge w:val="restart"/>
            <w:shd w:val="clear" w:color="auto" w:fill="auto"/>
            <w:tcMar>
              <w:top w:w="15" w:type="dxa"/>
              <w:left w:w="15" w:type="dxa"/>
              <w:right w:w="15" w:type="dxa"/>
            </w:tcMar>
            <w:vAlign w:val="center"/>
          </w:tcPr>
          <w:p w14:paraId="6245B431">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23</w:t>
            </w:r>
          </w:p>
        </w:tc>
        <w:tc>
          <w:tcPr>
            <w:tcW w:w="411" w:type="pct"/>
            <w:gridSpan w:val="2"/>
            <w:vMerge w:val="restart"/>
            <w:shd w:val="clear" w:color="auto" w:fill="auto"/>
            <w:tcMar>
              <w:top w:w="15" w:type="dxa"/>
              <w:left w:w="15" w:type="dxa"/>
              <w:right w:w="15" w:type="dxa"/>
            </w:tcMar>
            <w:vAlign w:val="center"/>
          </w:tcPr>
          <w:p w14:paraId="209BBC6E">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生活垃圾处理单位未按照工程技术规范、操作规程、污染控制标准处理生活垃圾或者产生的废水、废气、废渣等</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770B2BF4">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1.</w:t>
            </w:r>
            <w:r>
              <w:rPr>
                <w:rFonts w:hint="default" w:ascii="Times New Roman" w:hAnsi="Times New Roman" w:cs="Times New Roman" w:eastAsiaTheme="minorEastAsia"/>
                <w:color w:val="auto"/>
                <w:kern w:val="0"/>
                <w:sz w:val="18"/>
                <w:szCs w:val="18"/>
                <w:highlight w:val="none"/>
              </w:rPr>
              <w:t>《广东省城乡生活垃圾管理条例》第三十条</w:t>
            </w:r>
            <w:r>
              <w:rPr>
                <w:rFonts w:hint="default" w:ascii="Times New Roman" w:hAnsi="Times New Roman" w:cs="Times New Roman" w:eastAsiaTheme="minorEastAsia"/>
                <w:color w:val="auto"/>
                <w:kern w:val="0"/>
                <w:sz w:val="18"/>
                <w:szCs w:val="18"/>
                <w:highlight w:val="none"/>
                <w:lang w:eastAsia="zh-CN"/>
              </w:rPr>
              <w:t>第二项</w:t>
            </w:r>
            <w:r>
              <w:rPr>
                <w:rFonts w:hint="default" w:ascii="Times New Roman" w:hAnsi="Times New Roman" w:cs="Times New Roman" w:eastAsiaTheme="minorEastAsia"/>
                <w:color w:val="auto"/>
                <w:kern w:val="0"/>
                <w:sz w:val="18"/>
                <w:szCs w:val="18"/>
                <w:highlight w:val="none"/>
              </w:rPr>
              <w:t>：“生活垃圾处理单位应当遵守下列规定：（二）保持生活垃圾处理设施、设备正常运行，严格按照工程技术规范、操作规程、污染控制标准处理生活垃圾以及处理过程中产生的废水、废气、废渣等；”</w:t>
            </w:r>
          </w:p>
          <w:p w14:paraId="142C679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2.《东莞市生活垃圾分类管理规定》第三十五条第二项：“生活垃圾分类处理单位应当遵守下列规定：（二）保持生活垃圾处理设施、设备正常运行，严格按照工程技术规范、操作规程、污染控制标准处理生活垃圾以及处理过程中产生的废水、废气、废渣等；”</w:t>
            </w:r>
          </w:p>
        </w:tc>
        <w:tc>
          <w:tcPr>
            <w:tcW w:w="1314" w:type="pct"/>
            <w:gridSpan w:val="2"/>
            <w:vMerge w:val="restart"/>
            <w:shd w:val="clear" w:color="auto" w:fill="auto"/>
            <w:tcMar>
              <w:top w:w="15" w:type="dxa"/>
              <w:left w:w="15" w:type="dxa"/>
              <w:right w:w="15" w:type="dxa"/>
            </w:tcMar>
            <w:vAlign w:val="center"/>
          </w:tcPr>
          <w:p w14:paraId="6B25A450">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1.</w:t>
            </w:r>
            <w:r>
              <w:rPr>
                <w:rFonts w:hint="default" w:ascii="Times New Roman" w:hAnsi="Times New Roman" w:cs="Times New Roman" w:eastAsiaTheme="minorEastAsia"/>
                <w:color w:val="auto"/>
                <w:kern w:val="0"/>
                <w:sz w:val="18"/>
                <w:szCs w:val="18"/>
                <w:highlight w:val="none"/>
              </w:rPr>
              <w:t>《广东省城乡生活垃圾管理条例》第五十六条：“违反本条例第三十条第二项规定，生活垃圾处理单位未按照工程技术规范、操作规程、污染控制标准处理生活垃圾或者产生的废水、废气、废渣等的，由县级以上人民政府环境卫生、生态环境等有关部门根据职责分工，责令限期改正，处三万元以上十万元以下的罚款。法律法规有处罚规定的，按照其规定处罚。”</w:t>
            </w:r>
          </w:p>
          <w:p w14:paraId="2D88E64C">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2.《东莞市生活垃圾分类管理规定》第四十四条：“违反本规定第三十五条第二项规定，生活垃圾处理单位未按照工程技术规范、操作规程、污染控制标准处理生活垃圾或者处理过程中产生的废水、废气、废渣等的，由城市管理综合执法、生态环境等有关部门根据职责分工，责令限期改正，处三万元以上十万元以下的罚款。”</w:t>
            </w:r>
          </w:p>
        </w:tc>
        <w:tc>
          <w:tcPr>
            <w:tcW w:w="177" w:type="pct"/>
            <w:gridSpan w:val="2"/>
            <w:shd w:val="clear" w:color="auto" w:fill="auto"/>
            <w:tcMar>
              <w:top w:w="15" w:type="dxa"/>
              <w:left w:w="15" w:type="dxa"/>
              <w:right w:w="15" w:type="dxa"/>
            </w:tcMar>
            <w:vAlign w:val="center"/>
          </w:tcPr>
          <w:p w14:paraId="770DFA36">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1C0F3C9D">
            <w:pPr>
              <w:widowControl/>
              <w:shd w:val="clea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未按照工程技术规范、操作规程、污染控制标准处理生活垃圾或者产生的废水、废气、废渣等10立方米</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lang w:val="en-US" w:eastAsia="zh-CN"/>
              </w:rPr>
              <w:t>;</w:t>
            </w:r>
          </w:p>
          <w:p w14:paraId="584100F0">
            <w:pPr>
              <w:widowControl/>
              <w:shd w:val="clea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尚未造成生活垃圾处理能力降低</w:t>
            </w:r>
          </w:p>
        </w:tc>
        <w:tc>
          <w:tcPr>
            <w:tcW w:w="545" w:type="pct"/>
            <w:gridSpan w:val="2"/>
            <w:shd w:val="clear" w:color="auto" w:fill="auto"/>
            <w:tcMar>
              <w:top w:w="15" w:type="dxa"/>
              <w:left w:w="15" w:type="dxa"/>
              <w:right w:w="15" w:type="dxa"/>
            </w:tcMar>
            <w:vAlign w:val="center"/>
          </w:tcPr>
          <w:p w14:paraId="65E5BA35">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5.1万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restart"/>
            <w:shd w:val="clear" w:color="auto" w:fill="auto"/>
            <w:tcMar>
              <w:top w:w="15" w:type="dxa"/>
              <w:left w:w="15" w:type="dxa"/>
              <w:right w:w="15" w:type="dxa"/>
            </w:tcMar>
            <w:vAlign w:val="center"/>
          </w:tcPr>
          <w:p w14:paraId="19E2C308">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w:t>
            </w:r>
          </w:p>
          <w:p w14:paraId="09D7256F">
            <w:pPr>
              <w:widowControl/>
              <w:shd w:val="clear"/>
              <w:jc w:val="center"/>
              <w:textAlignment w:val="center"/>
              <w:rPr>
                <w:rFonts w:hint="default" w:ascii="Times New Roman" w:hAnsi="Times New Roman" w:cs="Times New Roman" w:eastAsiaTheme="minorEastAsia"/>
                <w:color w:val="auto"/>
                <w:sz w:val="18"/>
                <w:szCs w:val="18"/>
                <w:highlight w:val="none"/>
              </w:rPr>
            </w:pPr>
          </w:p>
          <w:p w14:paraId="5749A861">
            <w:pPr>
              <w:widowControl/>
              <w:shd w:val="clear"/>
              <w:jc w:val="center"/>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5278E465">
            <w:pPr>
              <w:shd w:val="clear"/>
              <w:jc w:val="center"/>
              <w:rPr>
                <w:rFonts w:hint="default" w:ascii="Times New Roman" w:hAnsi="Times New Roman" w:cs="Times New Roman" w:eastAsiaTheme="minorEastAsia"/>
                <w:color w:val="auto"/>
                <w:sz w:val="18"/>
                <w:szCs w:val="18"/>
                <w:highlight w:val="none"/>
                <w:lang w:val="en-US" w:eastAsia="zh-CN"/>
              </w:rPr>
            </w:pPr>
          </w:p>
        </w:tc>
      </w:tr>
      <w:tr w14:paraId="7C51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0" w:hRule="atLeast"/>
        </w:trPr>
        <w:tc>
          <w:tcPr>
            <w:tcW w:w="117" w:type="pct"/>
            <w:gridSpan w:val="2"/>
            <w:vMerge w:val="continue"/>
            <w:shd w:val="clear" w:color="auto" w:fill="auto"/>
            <w:tcMar>
              <w:top w:w="15" w:type="dxa"/>
              <w:left w:w="15" w:type="dxa"/>
              <w:right w:w="15" w:type="dxa"/>
            </w:tcMar>
            <w:vAlign w:val="center"/>
          </w:tcPr>
          <w:p w14:paraId="6AB9E48F">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0D1E5ACE">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2F3AC3D2">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4ADD9649">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1E72BFDE">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514C996A">
            <w:pPr>
              <w:widowControl/>
              <w:shd w:val="clear"/>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未按照工程技术规范、操作规程、污染控制标准处理生活垃圾或者产生的废水、废气、废渣等10立方米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30立方米</w:t>
            </w:r>
            <w:r>
              <w:rPr>
                <w:rFonts w:hint="default" w:ascii="Times New Roman" w:hAnsi="Times New Roman" w:cs="Times New Roman" w:eastAsiaTheme="minorEastAsia"/>
                <w:color w:val="auto"/>
                <w:kern w:val="0"/>
                <w:sz w:val="18"/>
                <w:szCs w:val="18"/>
                <w:highlight w:val="none"/>
                <w:lang w:eastAsia="zh-CN"/>
              </w:rPr>
              <w:t>以下；</w:t>
            </w:r>
          </w:p>
          <w:p w14:paraId="68F3D36A">
            <w:pPr>
              <w:widowControl/>
              <w:shd w:val="clea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已造成生活垃圾处理能力降低但尚未造成严重危害后果</w:t>
            </w:r>
          </w:p>
        </w:tc>
        <w:tc>
          <w:tcPr>
            <w:tcW w:w="545" w:type="pct"/>
            <w:gridSpan w:val="2"/>
            <w:shd w:val="clear" w:color="auto" w:fill="auto"/>
            <w:tcMar>
              <w:top w:w="15" w:type="dxa"/>
              <w:left w:w="15" w:type="dxa"/>
              <w:right w:w="15" w:type="dxa"/>
            </w:tcMar>
            <w:vAlign w:val="center"/>
          </w:tcPr>
          <w:p w14:paraId="63C66CD2">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5.1万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7.9万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5368CE76">
            <w:pPr>
              <w:widowControl/>
              <w:shd w:val="clear"/>
              <w:jc w:val="center"/>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089E8CCD">
            <w:pPr>
              <w:shd w:val="clear"/>
              <w:jc w:val="center"/>
              <w:rPr>
                <w:rFonts w:hint="default" w:ascii="Times New Roman" w:hAnsi="Times New Roman" w:cs="Times New Roman" w:eastAsiaTheme="minorEastAsia"/>
                <w:color w:val="auto"/>
                <w:sz w:val="18"/>
                <w:szCs w:val="18"/>
                <w:highlight w:val="none"/>
              </w:rPr>
            </w:pPr>
          </w:p>
        </w:tc>
      </w:tr>
      <w:tr w14:paraId="374F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5" w:hRule="atLeast"/>
        </w:trPr>
        <w:tc>
          <w:tcPr>
            <w:tcW w:w="117" w:type="pct"/>
            <w:gridSpan w:val="2"/>
            <w:vMerge w:val="continue"/>
            <w:shd w:val="clear" w:color="auto" w:fill="auto"/>
            <w:tcMar>
              <w:top w:w="15" w:type="dxa"/>
              <w:left w:w="15" w:type="dxa"/>
              <w:right w:w="15" w:type="dxa"/>
            </w:tcMar>
            <w:vAlign w:val="center"/>
          </w:tcPr>
          <w:p w14:paraId="0BF8F328">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04B7CA37">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3DCE04E7">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3E1DF64A">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5F14E6A4">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331C16AB">
            <w:pPr>
              <w:widowControl/>
              <w:shd w:val="clear"/>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未按照工程技术规范、操作规程、污染控制标准处理生活垃圾或者产生的废水、废气、废渣等30立方米</w:t>
            </w:r>
            <w:r>
              <w:rPr>
                <w:rFonts w:hint="default" w:ascii="Times New Roman" w:hAnsi="Times New Roman" w:cs="Times New Roman" w:eastAsiaTheme="minorEastAsia"/>
                <w:color w:val="auto"/>
                <w:kern w:val="0"/>
                <w:sz w:val="18"/>
                <w:szCs w:val="18"/>
                <w:highlight w:val="none"/>
                <w:lang w:eastAsia="zh-CN"/>
              </w:rPr>
              <w:t>以上；</w:t>
            </w:r>
          </w:p>
          <w:p w14:paraId="660B3B9D">
            <w:pPr>
              <w:widowControl/>
              <w:shd w:val="clea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已造成生活垃圾处理整体停运或其它严重危害后果</w:t>
            </w:r>
          </w:p>
        </w:tc>
        <w:tc>
          <w:tcPr>
            <w:tcW w:w="545" w:type="pct"/>
            <w:gridSpan w:val="2"/>
            <w:shd w:val="clear" w:color="auto" w:fill="auto"/>
            <w:tcMar>
              <w:top w:w="15" w:type="dxa"/>
              <w:left w:w="15" w:type="dxa"/>
              <w:right w:w="15" w:type="dxa"/>
            </w:tcMar>
            <w:vAlign w:val="center"/>
          </w:tcPr>
          <w:p w14:paraId="3F60D2D8">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7.9万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6F1F5A66">
            <w:pPr>
              <w:widowControl/>
              <w:shd w:val="clear"/>
              <w:jc w:val="center"/>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49BD64E6">
            <w:pPr>
              <w:shd w:val="clear"/>
              <w:jc w:val="center"/>
              <w:rPr>
                <w:rFonts w:hint="default" w:ascii="Times New Roman" w:hAnsi="Times New Roman" w:cs="Times New Roman" w:eastAsiaTheme="minorEastAsia"/>
                <w:color w:val="auto"/>
                <w:sz w:val="18"/>
                <w:szCs w:val="18"/>
                <w:highlight w:val="none"/>
              </w:rPr>
            </w:pPr>
          </w:p>
        </w:tc>
      </w:tr>
      <w:tr w14:paraId="65B4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trPr>
        <w:tc>
          <w:tcPr>
            <w:tcW w:w="117" w:type="pct"/>
            <w:gridSpan w:val="2"/>
            <w:vMerge w:val="restart"/>
            <w:shd w:val="clear" w:color="auto" w:fill="auto"/>
            <w:tcMar>
              <w:top w:w="15" w:type="dxa"/>
              <w:left w:w="15" w:type="dxa"/>
              <w:right w:w="15" w:type="dxa"/>
            </w:tcMar>
            <w:vAlign w:val="center"/>
          </w:tcPr>
          <w:p w14:paraId="6AA02357">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24</w:t>
            </w:r>
          </w:p>
        </w:tc>
        <w:tc>
          <w:tcPr>
            <w:tcW w:w="411" w:type="pct"/>
            <w:gridSpan w:val="2"/>
            <w:vMerge w:val="restart"/>
            <w:shd w:val="clear" w:color="auto" w:fill="auto"/>
            <w:tcMar>
              <w:top w:w="15" w:type="dxa"/>
              <w:left w:w="15" w:type="dxa"/>
              <w:right w:w="15" w:type="dxa"/>
            </w:tcMar>
            <w:vAlign w:val="center"/>
          </w:tcPr>
          <w:p w14:paraId="2024F0C6">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从事城市生活垃圾经营性处置的企业未按照所在地建设（环境卫生）主管部门规定的时间和要求接收生活垃圾</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1B95233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　《城市生活垃圾管理办法》第二十八条</w:t>
            </w:r>
            <w:r>
              <w:rPr>
                <w:rFonts w:hint="default" w:ascii="Times New Roman" w:hAnsi="Times New Roman" w:cs="Times New Roman" w:eastAsiaTheme="minorEastAsia"/>
                <w:color w:val="auto"/>
                <w:kern w:val="0"/>
                <w:sz w:val="18"/>
                <w:szCs w:val="18"/>
                <w:highlight w:val="none"/>
                <w:lang w:eastAsia="zh-CN"/>
              </w:rPr>
              <w:t>第三项</w:t>
            </w:r>
            <w:r>
              <w:rPr>
                <w:rFonts w:hint="default" w:ascii="Times New Roman" w:hAnsi="Times New Roman" w:cs="Times New Roman" w:eastAsiaTheme="minorEastAsia"/>
                <w:color w:val="auto"/>
                <w:kern w:val="0"/>
                <w:sz w:val="18"/>
                <w:szCs w:val="18"/>
                <w:highlight w:val="none"/>
              </w:rPr>
              <w:t>：“从事城市生活垃圾经营性处置的企业应当履行：（三）按照所在地建设（环境卫生）主管部门规定的时间和要求接收生活垃圾；”</w:t>
            </w:r>
          </w:p>
        </w:tc>
        <w:tc>
          <w:tcPr>
            <w:tcW w:w="1314" w:type="pct"/>
            <w:gridSpan w:val="2"/>
            <w:vMerge w:val="restart"/>
            <w:shd w:val="clear" w:color="auto" w:fill="auto"/>
            <w:tcMar>
              <w:top w:w="15" w:type="dxa"/>
              <w:left w:w="15" w:type="dxa"/>
              <w:right w:w="15" w:type="dxa"/>
            </w:tcMar>
            <w:vAlign w:val="center"/>
          </w:tcPr>
          <w:p w14:paraId="75DD323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生活垃圾管理办法》第四十五条：“……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77" w:type="pct"/>
            <w:gridSpan w:val="2"/>
            <w:shd w:val="clear" w:color="auto" w:fill="auto"/>
            <w:tcMar>
              <w:top w:w="15" w:type="dxa"/>
              <w:left w:w="15" w:type="dxa"/>
              <w:right w:w="15" w:type="dxa"/>
            </w:tcMar>
            <w:vAlign w:val="center"/>
          </w:tcPr>
          <w:p w14:paraId="2535EB6F">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218B65E0">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超过规定时间</w:t>
            </w:r>
            <w:r>
              <w:rPr>
                <w:rFonts w:hint="default" w:ascii="Times New Roman" w:hAnsi="Times New Roman" w:cs="Times New Roman" w:eastAsiaTheme="minorEastAsia"/>
                <w:color w:val="auto"/>
                <w:kern w:val="0"/>
                <w:sz w:val="18"/>
                <w:szCs w:val="18"/>
                <w:highlight w:val="none"/>
                <w:lang w:val="en-US" w:eastAsia="zh-CN"/>
              </w:rPr>
              <w:t>2</w:t>
            </w:r>
            <w:r>
              <w:rPr>
                <w:rFonts w:hint="default" w:ascii="Times New Roman" w:hAnsi="Times New Roman" w:cs="Times New Roman" w:eastAsiaTheme="minorEastAsia"/>
                <w:color w:val="auto"/>
                <w:kern w:val="0"/>
                <w:sz w:val="18"/>
                <w:szCs w:val="18"/>
                <w:highlight w:val="none"/>
              </w:rPr>
              <w:t>天</w:t>
            </w:r>
            <w:r>
              <w:rPr>
                <w:rFonts w:hint="default" w:ascii="Times New Roman" w:hAnsi="Times New Roman" w:cs="Times New Roman" w:eastAsiaTheme="minorEastAsia"/>
                <w:color w:val="auto"/>
                <w:kern w:val="0"/>
                <w:sz w:val="18"/>
                <w:szCs w:val="18"/>
                <w:highlight w:val="none"/>
                <w:lang w:eastAsia="zh-CN"/>
              </w:rPr>
              <w:t>以下；</w:t>
            </w:r>
          </w:p>
          <w:p w14:paraId="16353D5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未</w:t>
            </w:r>
            <w:r>
              <w:rPr>
                <w:rFonts w:hint="default" w:ascii="Times New Roman" w:hAnsi="Times New Roman" w:cs="Times New Roman" w:eastAsiaTheme="minorEastAsia"/>
                <w:color w:val="auto"/>
                <w:kern w:val="0"/>
                <w:sz w:val="18"/>
                <w:szCs w:val="18"/>
                <w:highlight w:val="none"/>
                <w:lang w:eastAsia="zh-CN"/>
              </w:rPr>
              <w:t>按要求</w:t>
            </w:r>
            <w:r>
              <w:rPr>
                <w:rFonts w:hint="default" w:ascii="Times New Roman" w:hAnsi="Times New Roman" w:cs="Times New Roman" w:eastAsiaTheme="minorEastAsia"/>
                <w:color w:val="auto"/>
                <w:kern w:val="0"/>
                <w:sz w:val="18"/>
                <w:szCs w:val="18"/>
                <w:highlight w:val="none"/>
              </w:rPr>
              <w:t>接收城市生活垃圾</w:t>
            </w:r>
            <w:r>
              <w:rPr>
                <w:rFonts w:hint="default" w:ascii="Times New Roman" w:hAnsi="Times New Roman" w:cs="Times New Roman" w:eastAsiaTheme="minorEastAsia"/>
                <w:color w:val="auto"/>
                <w:kern w:val="0"/>
                <w:sz w:val="18"/>
                <w:szCs w:val="18"/>
                <w:highlight w:val="none"/>
                <w:lang w:val="en-US" w:eastAsia="zh-CN"/>
              </w:rPr>
              <w:t>30</w:t>
            </w:r>
            <w:r>
              <w:rPr>
                <w:rFonts w:hint="default" w:ascii="Times New Roman" w:hAnsi="Times New Roman" w:cs="Times New Roman" w:eastAsiaTheme="minorEastAsia"/>
                <w:color w:val="auto"/>
                <w:kern w:val="0"/>
                <w:sz w:val="18"/>
                <w:szCs w:val="18"/>
                <w:highlight w:val="none"/>
              </w:rPr>
              <w:t>立方米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032416B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5.1万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restart"/>
            <w:shd w:val="clear" w:color="auto" w:fill="auto"/>
            <w:tcMar>
              <w:top w:w="15" w:type="dxa"/>
              <w:left w:w="15" w:type="dxa"/>
              <w:right w:w="15" w:type="dxa"/>
            </w:tcMar>
            <w:vAlign w:val="center"/>
          </w:tcPr>
          <w:p w14:paraId="7588AD4A">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造成损失的，依法承担赔偿责任</w:t>
            </w:r>
          </w:p>
          <w:p w14:paraId="3225FEC4">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p>
          <w:p w14:paraId="488BC0CE">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p>
        </w:tc>
        <w:tc>
          <w:tcPr>
            <w:tcW w:w="390" w:type="pct"/>
            <w:gridSpan w:val="3"/>
            <w:vMerge w:val="restart"/>
            <w:shd w:val="clear" w:color="auto" w:fill="auto"/>
            <w:tcMar>
              <w:top w:w="15" w:type="dxa"/>
              <w:left w:w="15" w:type="dxa"/>
              <w:right w:w="15" w:type="dxa"/>
            </w:tcMar>
            <w:vAlign w:val="center"/>
          </w:tcPr>
          <w:p w14:paraId="3AAD1B6D">
            <w:pPr>
              <w:shd w:val="clear"/>
              <w:rPr>
                <w:rFonts w:hint="default" w:ascii="Times New Roman" w:hAnsi="Times New Roman" w:cs="Times New Roman" w:eastAsiaTheme="minorEastAsia"/>
                <w:color w:val="auto"/>
                <w:sz w:val="18"/>
                <w:szCs w:val="18"/>
                <w:highlight w:val="none"/>
                <w:lang w:val="en-US" w:eastAsia="zh-CN"/>
              </w:rPr>
            </w:pPr>
          </w:p>
        </w:tc>
      </w:tr>
      <w:tr w14:paraId="4DCC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trPr>
        <w:tc>
          <w:tcPr>
            <w:tcW w:w="117" w:type="pct"/>
            <w:gridSpan w:val="2"/>
            <w:vMerge w:val="continue"/>
            <w:shd w:val="clear" w:color="auto" w:fill="auto"/>
            <w:tcMar>
              <w:top w:w="15" w:type="dxa"/>
              <w:left w:w="15" w:type="dxa"/>
              <w:right w:w="15" w:type="dxa"/>
            </w:tcMar>
            <w:vAlign w:val="center"/>
          </w:tcPr>
          <w:p w14:paraId="5E5FA32A">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7AA8D3D7">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7AC805A7">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6637021A">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5240CB5C">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56D1E19A">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超过规定时间2天</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3天</w:t>
            </w:r>
            <w:r>
              <w:rPr>
                <w:rFonts w:hint="default" w:ascii="Times New Roman" w:hAnsi="Times New Roman" w:cs="Times New Roman" w:eastAsiaTheme="minorEastAsia"/>
                <w:color w:val="auto"/>
                <w:kern w:val="0"/>
                <w:sz w:val="18"/>
                <w:szCs w:val="18"/>
                <w:highlight w:val="none"/>
                <w:lang w:eastAsia="zh-CN"/>
              </w:rPr>
              <w:t>以下；</w:t>
            </w:r>
          </w:p>
          <w:p w14:paraId="6185BAD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未</w:t>
            </w:r>
            <w:r>
              <w:rPr>
                <w:rFonts w:hint="default" w:ascii="Times New Roman" w:hAnsi="Times New Roman" w:cs="Times New Roman" w:eastAsiaTheme="minorEastAsia"/>
                <w:color w:val="auto"/>
                <w:kern w:val="0"/>
                <w:sz w:val="18"/>
                <w:szCs w:val="18"/>
                <w:highlight w:val="none"/>
                <w:lang w:eastAsia="zh-CN"/>
              </w:rPr>
              <w:t>按要求</w:t>
            </w:r>
            <w:r>
              <w:rPr>
                <w:rFonts w:hint="default" w:ascii="Times New Roman" w:hAnsi="Times New Roman" w:cs="Times New Roman" w:eastAsiaTheme="minorEastAsia"/>
                <w:color w:val="auto"/>
                <w:kern w:val="0"/>
                <w:sz w:val="18"/>
                <w:szCs w:val="18"/>
                <w:highlight w:val="none"/>
              </w:rPr>
              <w:t>接收城市生活垃圾</w:t>
            </w:r>
            <w:r>
              <w:rPr>
                <w:rFonts w:hint="default" w:ascii="Times New Roman" w:hAnsi="Times New Roman" w:cs="Times New Roman" w:eastAsiaTheme="minorEastAsia"/>
                <w:color w:val="auto"/>
                <w:kern w:val="0"/>
                <w:sz w:val="18"/>
                <w:szCs w:val="18"/>
                <w:highlight w:val="none"/>
                <w:lang w:val="en-US" w:eastAsia="zh-CN"/>
              </w:rPr>
              <w:t>30</w:t>
            </w:r>
            <w:r>
              <w:rPr>
                <w:rFonts w:hint="default" w:ascii="Times New Roman" w:hAnsi="Times New Roman" w:cs="Times New Roman" w:eastAsiaTheme="minorEastAsia"/>
                <w:color w:val="auto"/>
                <w:kern w:val="0"/>
                <w:sz w:val="18"/>
                <w:szCs w:val="18"/>
                <w:highlight w:val="none"/>
              </w:rPr>
              <w:t>立方米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50立方米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44F3E79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w:t>
            </w:r>
            <w:r>
              <w:rPr>
                <w:rFonts w:hint="default" w:ascii="Times New Roman" w:hAnsi="Times New Roman" w:cs="Times New Roman" w:eastAsiaTheme="minorEastAsia"/>
                <w:color w:val="auto"/>
                <w:kern w:val="0"/>
                <w:sz w:val="18"/>
                <w:szCs w:val="18"/>
                <w:highlight w:val="none"/>
                <w:lang w:val="en-US" w:eastAsia="zh-CN"/>
              </w:rPr>
              <w:t>5.1万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7.9万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6F588A63">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p>
        </w:tc>
        <w:tc>
          <w:tcPr>
            <w:tcW w:w="390" w:type="pct"/>
            <w:gridSpan w:val="3"/>
            <w:vMerge w:val="continue"/>
            <w:shd w:val="clear" w:color="auto" w:fill="auto"/>
            <w:tcMar>
              <w:top w:w="15" w:type="dxa"/>
              <w:left w:w="15" w:type="dxa"/>
              <w:right w:w="15" w:type="dxa"/>
            </w:tcMar>
            <w:vAlign w:val="center"/>
          </w:tcPr>
          <w:p w14:paraId="34A42035">
            <w:pPr>
              <w:shd w:val="clear"/>
              <w:rPr>
                <w:rFonts w:hint="default" w:ascii="Times New Roman" w:hAnsi="Times New Roman" w:cs="Times New Roman" w:eastAsiaTheme="minorEastAsia"/>
                <w:color w:val="auto"/>
                <w:sz w:val="18"/>
                <w:szCs w:val="18"/>
                <w:highlight w:val="none"/>
              </w:rPr>
            </w:pPr>
          </w:p>
        </w:tc>
      </w:tr>
      <w:tr w14:paraId="7EC1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trPr>
        <w:tc>
          <w:tcPr>
            <w:tcW w:w="117" w:type="pct"/>
            <w:gridSpan w:val="2"/>
            <w:vMerge w:val="continue"/>
            <w:shd w:val="clear" w:color="auto" w:fill="auto"/>
            <w:tcMar>
              <w:top w:w="15" w:type="dxa"/>
              <w:left w:w="15" w:type="dxa"/>
              <w:right w:w="15" w:type="dxa"/>
            </w:tcMar>
            <w:vAlign w:val="center"/>
          </w:tcPr>
          <w:p w14:paraId="14351764">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1AD8449E">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43618EF">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625010DA">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55FD55B9">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0A9DBAC2">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超过规定时间3天</w:t>
            </w:r>
            <w:r>
              <w:rPr>
                <w:rFonts w:hint="default" w:ascii="Times New Roman" w:hAnsi="Times New Roman" w:cs="Times New Roman" w:eastAsiaTheme="minorEastAsia"/>
                <w:color w:val="auto"/>
                <w:kern w:val="0"/>
                <w:sz w:val="18"/>
                <w:szCs w:val="18"/>
                <w:highlight w:val="none"/>
                <w:lang w:eastAsia="zh-CN"/>
              </w:rPr>
              <w:t>以上；</w:t>
            </w:r>
          </w:p>
          <w:p w14:paraId="780EA4A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未</w:t>
            </w:r>
            <w:r>
              <w:rPr>
                <w:rFonts w:hint="default" w:ascii="Times New Roman" w:hAnsi="Times New Roman" w:cs="Times New Roman" w:eastAsiaTheme="minorEastAsia"/>
                <w:color w:val="auto"/>
                <w:kern w:val="0"/>
                <w:sz w:val="18"/>
                <w:szCs w:val="18"/>
                <w:highlight w:val="none"/>
                <w:lang w:eastAsia="zh-CN"/>
              </w:rPr>
              <w:t>按要求</w:t>
            </w:r>
            <w:r>
              <w:rPr>
                <w:rFonts w:hint="default" w:ascii="Times New Roman" w:hAnsi="Times New Roman" w:cs="Times New Roman" w:eastAsiaTheme="minorEastAsia"/>
                <w:color w:val="auto"/>
                <w:kern w:val="0"/>
                <w:sz w:val="18"/>
                <w:szCs w:val="18"/>
                <w:highlight w:val="none"/>
              </w:rPr>
              <w:t>接收生活垃圾50立方米</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166F15D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w:t>
            </w:r>
            <w:r>
              <w:rPr>
                <w:rFonts w:hint="default" w:ascii="Times New Roman" w:hAnsi="Times New Roman" w:cs="Times New Roman" w:eastAsiaTheme="minorEastAsia"/>
                <w:color w:val="auto"/>
                <w:kern w:val="0"/>
                <w:sz w:val="18"/>
                <w:szCs w:val="18"/>
                <w:highlight w:val="none"/>
                <w:lang w:val="en-US" w:eastAsia="zh-CN"/>
              </w:rPr>
              <w:t>7.9万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6CA87F81">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p>
        </w:tc>
        <w:tc>
          <w:tcPr>
            <w:tcW w:w="390" w:type="pct"/>
            <w:gridSpan w:val="3"/>
            <w:vMerge w:val="continue"/>
            <w:shd w:val="clear" w:color="auto" w:fill="auto"/>
            <w:tcMar>
              <w:top w:w="15" w:type="dxa"/>
              <w:left w:w="15" w:type="dxa"/>
              <w:right w:w="15" w:type="dxa"/>
            </w:tcMar>
            <w:vAlign w:val="center"/>
          </w:tcPr>
          <w:p w14:paraId="36D509F7">
            <w:pPr>
              <w:shd w:val="clear"/>
              <w:rPr>
                <w:rFonts w:hint="default" w:ascii="Times New Roman" w:hAnsi="Times New Roman" w:cs="Times New Roman" w:eastAsiaTheme="minorEastAsia"/>
                <w:color w:val="auto"/>
                <w:sz w:val="18"/>
                <w:szCs w:val="18"/>
                <w:highlight w:val="none"/>
              </w:rPr>
            </w:pPr>
          </w:p>
        </w:tc>
      </w:tr>
      <w:tr w14:paraId="220D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117" w:type="pct"/>
            <w:gridSpan w:val="2"/>
            <w:vMerge w:val="restart"/>
            <w:shd w:val="clear" w:color="auto" w:fill="auto"/>
            <w:tcMar>
              <w:top w:w="15" w:type="dxa"/>
              <w:left w:w="15" w:type="dxa"/>
              <w:right w:w="15" w:type="dxa"/>
            </w:tcMar>
            <w:vAlign w:val="center"/>
          </w:tcPr>
          <w:p w14:paraId="2D07DFB9">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25</w:t>
            </w:r>
          </w:p>
        </w:tc>
        <w:tc>
          <w:tcPr>
            <w:tcW w:w="411" w:type="pct"/>
            <w:gridSpan w:val="2"/>
            <w:vMerge w:val="restart"/>
            <w:shd w:val="clear" w:color="auto" w:fill="auto"/>
            <w:tcMar>
              <w:top w:w="15" w:type="dxa"/>
              <w:left w:w="15" w:type="dxa"/>
              <w:right w:w="15" w:type="dxa"/>
            </w:tcMar>
            <w:vAlign w:val="center"/>
          </w:tcPr>
          <w:p w14:paraId="5A8F6816">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从事城市生活垃圾经营性处置的企业未按照要求配备城市生活垃圾处置设备、设施，保证设施、设备运行良好</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7E5B78B6">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《城市生活垃圾管理办法》第二十八条</w:t>
            </w:r>
            <w:r>
              <w:rPr>
                <w:rFonts w:hint="default" w:ascii="Times New Roman" w:hAnsi="Times New Roman" w:cs="Times New Roman" w:eastAsiaTheme="minorEastAsia"/>
                <w:color w:val="auto"/>
                <w:kern w:val="0"/>
                <w:sz w:val="18"/>
                <w:szCs w:val="18"/>
                <w:highlight w:val="none"/>
                <w:lang w:eastAsia="zh-CN"/>
              </w:rPr>
              <w:t>第四项</w:t>
            </w:r>
            <w:r>
              <w:rPr>
                <w:rFonts w:hint="default" w:ascii="Times New Roman" w:hAnsi="Times New Roman" w:cs="Times New Roman" w:eastAsiaTheme="minorEastAsia"/>
                <w:color w:val="auto"/>
                <w:kern w:val="0"/>
                <w:sz w:val="18"/>
                <w:szCs w:val="18"/>
                <w:highlight w:val="none"/>
              </w:rPr>
              <w:t>：“从事城市生活垃圾经营性处置的企业应当履行以下义务：（四）按照要求配备城市生活垃圾处置设备、设施，保证设施、设备运行良好；”</w:t>
            </w:r>
          </w:p>
        </w:tc>
        <w:tc>
          <w:tcPr>
            <w:tcW w:w="1314" w:type="pct"/>
            <w:gridSpan w:val="2"/>
            <w:vMerge w:val="restart"/>
            <w:shd w:val="clear" w:color="auto" w:fill="auto"/>
            <w:tcMar>
              <w:top w:w="15" w:type="dxa"/>
              <w:left w:w="15" w:type="dxa"/>
              <w:right w:w="15" w:type="dxa"/>
            </w:tcMar>
            <w:vAlign w:val="center"/>
          </w:tcPr>
          <w:p w14:paraId="3DE0FDB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生活垃圾管理办法》第四十五条：“……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77" w:type="pct"/>
            <w:gridSpan w:val="2"/>
            <w:shd w:val="clear" w:color="auto" w:fill="auto"/>
            <w:tcMar>
              <w:top w:w="15" w:type="dxa"/>
              <w:left w:w="15" w:type="dxa"/>
              <w:right w:w="15" w:type="dxa"/>
            </w:tcMar>
            <w:vAlign w:val="center"/>
          </w:tcPr>
          <w:p w14:paraId="38360D95">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369DD5B7">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未按照要求配备城市生活垃圾处置设备、设施3处（台）</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lang w:val="en-US" w:eastAsia="zh-CN"/>
              </w:rPr>
              <w:t>；</w:t>
            </w:r>
          </w:p>
          <w:p w14:paraId="02E30353">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尚未造成生活垃圾处理能力降低</w:t>
            </w:r>
          </w:p>
        </w:tc>
        <w:tc>
          <w:tcPr>
            <w:tcW w:w="545" w:type="pct"/>
            <w:gridSpan w:val="2"/>
            <w:shd w:val="clear" w:color="auto" w:fill="auto"/>
            <w:tcMar>
              <w:top w:w="15" w:type="dxa"/>
              <w:left w:w="15" w:type="dxa"/>
              <w:right w:w="15" w:type="dxa"/>
            </w:tcMar>
            <w:vAlign w:val="center"/>
          </w:tcPr>
          <w:p w14:paraId="5C173AB6">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5.1万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restart"/>
            <w:shd w:val="clear" w:color="auto" w:fill="auto"/>
            <w:tcMar>
              <w:top w:w="15" w:type="dxa"/>
              <w:left w:w="15" w:type="dxa"/>
              <w:right w:w="15" w:type="dxa"/>
            </w:tcMar>
            <w:vAlign w:val="center"/>
          </w:tcPr>
          <w:p w14:paraId="046237BB">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造成损失的，依法承担赔偿责任</w:t>
            </w:r>
          </w:p>
          <w:p w14:paraId="192E56F0">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p>
          <w:p w14:paraId="7492EBED">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p>
        </w:tc>
        <w:tc>
          <w:tcPr>
            <w:tcW w:w="390" w:type="pct"/>
            <w:gridSpan w:val="3"/>
            <w:vMerge w:val="restart"/>
            <w:shd w:val="clear" w:color="auto" w:fill="auto"/>
            <w:tcMar>
              <w:top w:w="15" w:type="dxa"/>
              <w:left w:w="15" w:type="dxa"/>
              <w:right w:w="15" w:type="dxa"/>
            </w:tcMar>
            <w:vAlign w:val="center"/>
          </w:tcPr>
          <w:p w14:paraId="56C4F112">
            <w:pPr>
              <w:shd w:val="clear"/>
              <w:rPr>
                <w:rFonts w:hint="default" w:ascii="Times New Roman" w:hAnsi="Times New Roman" w:cs="Times New Roman" w:eastAsiaTheme="minorEastAsia"/>
                <w:color w:val="auto"/>
                <w:sz w:val="18"/>
                <w:szCs w:val="18"/>
                <w:highlight w:val="none"/>
                <w:lang w:eastAsia="zh-CN"/>
              </w:rPr>
            </w:pPr>
          </w:p>
        </w:tc>
      </w:tr>
      <w:tr w14:paraId="12FBB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117" w:type="pct"/>
            <w:gridSpan w:val="2"/>
            <w:vMerge w:val="continue"/>
            <w:shd w:val="clear" w:color="auto" w:fill="auto"/>
            <w:tcMar>
              <w:top w:w="15" w:type="dxa"/>
              <w:left w:w="15" w:type="dxa"/>
              <w:right w:w="15" w:type="dxa"/>
            </w:tcMar>
            <w:vAlign w:val="center"/>
          </w:tcPr>
          <w:p w14:paraId="64F39F28">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6F8A2FC4">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226BBBB4">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6194265F">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7CC48809">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0D5FCF1E">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未按照要求配备城市生活垃圾处置设备、设施3处（台）</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5处（台）</w:t>
            </w:r>
            <w:r>
              <w:rPr>
                <w:rFonts w:hint="default" w:ascii="Times New Roman" w:hAnsi="Times New Roman" w:cs="Times New Roman" w:eastAsiaTheme="minorEastAsia"/>
                <w:color w:val="auto"/>
                <w:kern w:val="0"/>
                <w:sz w:val="18"/>
                <w:szCs w:val="18"/>
                <w:highlight w:val="none"/>
                <w:lang w:eastAsia="zh-CN"/>
              </w:rPr>
              <w:t>以下；</w:t>
            </w:r>
          </w:p>
          <w:p w14:paraId="531A6542">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造成生活垃圾处理能力降低但尚未造成严重</w:t>
            </w:r>
          </w:p>
        </w:tc>
        <w:tc>
          <w:tcPr>
            <w:tcW w:w="545" w:type="pct"/>
            <w:gridSpan w:val="2"/>
            <w:shd w:val="clear" w:color="auto" w:fill="auto"/>
            <w:tcMar>
              <w:top w:w="15" w:type="dxa"/>
              <w:left w:w="15" w:type="dxa"/>
              <w:right w:w="15" w:type="dxa"/>
            </w:tcMar>
            <w:vAlign w:val="center"/>
          </w:tcPr>
          <w:p w14:paraId="2A4427D6">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w:t>
            </w:r>
            <w:r>
              <w:rPr>
                <w:rFonts w:hint="default" w:ascii="Times New Roman" w:hAnsi="Times New Roman" w:cs="Times New Roman" w:eastAsiaTheme="minorEastAsia"/>
                <w:color w:val="auto"/>
                <w:kern w:val="0"/>
                <w:sz w:val="18"/>
                <w:szCs w:val="18"/>
                <w:highlight w:val="none"/>
                <w:lang w:val="en-US" w:eastAsia="zh-CN"/>
              </w:rPr>
              <w:t>5.1万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7.9万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205188EB">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p>
        </w:tc>
        <w:tc>
          <w:tcPr>
            <w:tcW w:w="390" w:type="pct"/>
            <w:gridSpan w:val="3"/>
            <w:vMerge w:val="continue"/>
            <w:shd w:val="clear" w:color="auto" w:fill="auto"/>
            <w:tcMar>
              <w:top w:w="15" w:type="dxa"/>
              <w:left w:w="15" w:type="dxa"/>
              <w:right w:w="15" w:type="dxa"/>
            </w:tcMar>
            <w:vAlign w:val="center"/>
          </w:tcPr>
          <w:p w14:paraId="17A4B47B">
            <w:pPr>
              <w:shd w:val="clear"/>
              <w:rPr>
                <w:rFonts w:hint="default" w:ascii="Times New Roman" w:hAnsi="Times New Roman" w:cs="Times New Roman" w:eastAsiaTheme="minorEastAsia"/>
                <w:color w:val="auto"/>
                <w:sz w:val="18"/>
                <w:szCs w:val="18"/>
                <w:highlight w:val="none"/>
              </w:rPr>
            </w:pPr>
          </w:p>
        </w:tc>
      </w:tr>
      <w:tr w14:paraId="217E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117" w:type="pct"/>
            <w:gridSpan w:val="2"/>
            <w:vMerge w:val="continue"/>
            <w:shd w:val="clear" w:color="auto" w:fill="auto"/>
            <w:tcMar>
              <w:top w:w="15" w:type="dxa"/>
              <w:left w:w="15" w:type="dxa"/>
              <w:right w:w="15" w:type="dxa"/>
            </w:tcMar>
            <w:vAlign w:val="center"/>
          </w:tcPr>
          <w:p w14:paraId="07B37570">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5CFD7C28">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1FDC9AA">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1E27E833">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3137ABE1">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4B427CF4">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未按照要求配备城市生活垃圾处置设备、设施5处（台）</w:t>
            </w:r>
            <w:r>
              <w:rPr>
                <w:rFonts w:hint="default" w:ascii="Times New Roman" w:hAnsi="Times New Roman" w:cs="Times New Roman" w:eastAsiaTheme="minorEastAsia"/>
                <w:color w:val="auto"/>
                <w:kern w:val="0"/>
                <w:sz w:val="18"/>
                <w:szCs w:val="18"/>
                <w:highlight w:val="none"/>
                <w:lang w:eastAsia="zh-CN"/>
              </w:rPr>
              <w:t>以上；</w:t>
            </w:r>
          </w:p>
          <w:p w14:paraId="1EA9E4BD">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已造成生活垃圾处理整体停运或其它严重危害后果</w:t>
            </w:r>
          </w:p>
        </w:tc>
        <w:tc>
          <w:tcPr>
            <w:tcW w:w="545" w:type="pct"/>
            <w:gridSpan w:val="2"/>
            <w:shd w:val="clear" w:color="auto" w:fill="auto"/>
            <w:tcMar>
              <w:top w:w="15" w:type="dxa"/>
              <w:left w:w="15" w:type="dxa"/>
              <w:right w:w="15" w:type="dxa"/>
            </w:tcMar>
            <w:vAlign w:val="center"/>
          </w:tcPr>
          <w:p w14:paraId="348A3A1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w:t>
            </w:r>
            <w:r>
              <w:rPr>
                <w:rFonts w:hint="default" w:ascii="Times New Roman" w:hAnsi="Times New Roman" w:cs="Times New Roman" w:eastAsiaTheme="minorEastAsia"/>
                <w:color w:val="auto"/>
                <w:kern w:val="0"/>
                <w:sz w:val="18"/>
                <w:szCs w:val="18"/>
                <w:highlight w:val="none"/>
                <w:lang w:val="en-US" w:eastAsia="zh-CN"/>
              </w:rPr>
              <w:t>7.9万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3832D2AB">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p>
        </w:tc>
        <w:tc>
          <w:tcPr>
            <w:tcW w:w="390" w:type="pct"/>
            <w:gridSpan w:val="3"/>
            <w:vMerge w:val="continue"/>
            <w:shd w:val="clear" w:color="auto" w:fill="auto"/>
            <w:tcMar>
              <w:top w:w="15" w:type="dxa"/>
              <w:left w:w="15" w:type="dxa"/>
              <w:right w:w="15" w:type="dxa"/>
            </w:tcMar>
            <w:vAlign w:val="center"/>
          </w:tcPr>
          <w:p w14:paraId="6DF31904">
            <w:pPr>
              <w:shd w:val="clear"/>
              <w:rPr>
                <w:rFonts w:hint="default" w:ascii="Times New Roman" w:hAnsi="Times New Roman" w:cs="Times New Roman" w:eastAsiaTheme="minorEastAsia"/>
                <w:color w:val="auto"/>
                <w:sz w:val="18"/>
                <w:szCs w:val="18"/>
                <w:highlight w:val="none"/>
              </w:rPr>
            </w:pPr>
          </w:p>
        </w:tc>
      </w:tr>
      <w:tr w14:paraId="5564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17" w:type="pct"/>
            <w:gridSpan w:val="2"/>
            <w:vMerge w:val="restart"/>
            <w:shd w:val="clear" w:color="auto" w:fill="auto"/>
            <w:tcMar>
              <w:top w:w="15" w:type="dxa"/>
              <w:left w:w="15" w:type="dxa"/>
              <w:right w:w="15" w:type="dxa"/>
            </w:tcMar>
            <w:vAlign w:val="center"/>
          </w:tcPr>
          <w:p w14:paraId="3DE4E6A6">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26</w:t>
            </w:r>
          </w:p>
        </w:tc>
        <w:tc>
          <w:tcPr>
            <w:tcW w:w="411" w:type="pct"/>
            <w:gridSpan w:val="2"/>
            <w:vMerge w:val="restart"/>
            <w:shd w:val="clear" w:color="auto" w:fill="auto"/>
            <w:tcMar>
              <w:top w:w="15" w:type="dxa"/>
              <w:left w:w="15" w:type="dxa"/>
              <w:right w:w="15" w:type="dxa"/>
            </w:tcMar>
            <w:vAlign w:val="center"/>
          </w:tcPr>
          <w:p w14:paraId="01F609EE">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从事城市生活垃圾经营性处置的企业未保证城市生活垃圾处置站、场（厂）环境整洁</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579ABEB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《城市生活垃圾管理办法》第二十八条</w:t>
            </w:r>
            <w:r>
              <w:rPr>
                <w:rFonts w:hint="default" w:ascii="Times New Roman" w:hAnsi="Times New Roman" w:cs="Times New Roman" w:eastAsiaTheme="minorEastAsia"/>
                <w:color w:val="auto"/>
                <w:kern w:val="0"/>
                <w:sz w:val="18"/>
                <w:szCs w:val="18"/>
                <w:highlight w:val="none"/>
                <w:lang w:eastAsia="zh-CN"/>
              </w:rPr>
              <w:t>第五项</w:t>
            </w:r>
            <w:r>
              <w:rPr>
                <w:rFonts w:hint="default" w:ascii="Times New Roman" w:hAnsi="Times New Roman" w:cs="Times New Roman" w:eastAsiaTheme="minorEastAsia"/>
                <w:color w:val="auto"/>
                <w:kern w:val="0"/>
                <w:sz w:val="18"/>
                <w:szCs w:val="18"/>
                <w:highlight w:val="none"/>
              </w:rPr>
              <w:t>：“从事城市生活垃圾经营性处置的企业应当履行以下义务：（五）保证城市生活垃圾处置站、场（厂）环境整洁；”</w:t>
            </w:r>
          </w:p>
        </w:tc>
        <w:tc>
          <w:tcPr>
            <w:tcW w:w="1314" w:type="pct"/>
            <w:gridSpan w:val="2"/>
            <w:vMerge w:val="restart"/>
            <w:shd w:val="clear" w:color="auto" w:fill="auto"/>
            <w:tcMar>
              <w:top w:w="15" w:type="dxa"/>
              <w:left w:w="15" w:type="dxa"/>
              <w:right w:w="15" w:type="dxa"/>
            </w:tcMar>
            <w:vAlign w:val="center"/>
          </w:tcPr>
          <w:p w14:paraId="71DEAC1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生活垃圾管理办法》第四十五条：“……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77" w:type="pct"/>
            <w:gridSpan w:val="2"/>
            <w:shd w:val="clear" w:color="auto" w:fill="auto"/>
            <w:tcMar>
              <w:top w:w="15" w:type="dxa"/>
              <w:left w:w="15" w:type="dxa"/>
              <w:right w:w="15" w:type="dxa"/>
            </w:tcMar>
            <w:vAlign w:val="center"/>
          </w:tcPr>
          <w:p w14:paraId="79F2C833">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1FA3C008">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未保证整洁</w:t>
            </w:r>
            <w:r>
              <w:rPr>
                <w:rFonts w:hint="default" w:ascii="Times New Roman" w:hAnsi="Times New Roman" w:cs="Times New Roman" w:eastAsiaTheme="minorEastAsia"/>
                <w:color w:val="auto"/>
                <w:kern w:val="0"/>
                <w:sz w:val="18"/>
                <w:szCs w:val="18"/>
                <w:highlight w:val="none"/>
              </w:rPr>
              <w:t>1天</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lang w:val="en-US" w:eastAsia="zh-CN"/>
              </w:rPr>
              <w:t>;</w:t>
            </w:r>
          </w:p>
          <w:p w14:paraId="4F61B9AB">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lang w:val="en-US" w:eastAsia="zh-CN"/>
              </w:rPr>
              <w:t>未保证整洁的区域20平方米以下</w:t>
            </w:r>
          </w:p>
        </w:tc>
        <w:tc>
          <w:tcPr>
            <w:tcW w:w="545" w:type="pct"/>
            <w:gridSpan w:val="2"/>
            <w:shd w:val="clear" w:color="auto" w:fill="auto"/>
            <w:tcMar>
              <w:top w:w="15" w:type="dxa"/>
              <w:left w:w="15" w:type="dxa"/>
              <w:right w:w="15" w:type="dxa"/>
            </w:tcMar>
            <w:vAlign w:val="center"/>
          </w:tcPr>
          <w:p w14:paraId="509DD7D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5.1万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restart"/>
            <w:shd w:val="clear" w:color="auto" w:fill="auto"/>
            <w:tcMar>
              <w:top w:w="15" w:type="dxa"/>
              <w:left w:w="15" w:type="dxa"/>
              <w:right w:w="15" w:type="dxa"/>
            </w:tcMar>
            <w:vAlign w:val="center"/>
          </w:tcPr>
          <w:p w14:paraId="04EEE13A">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w:t>
            </w:r>
            <w:r>
              <w:rPr>
                <w:rFonts w:hint="default" w:ascii="Times New Roman" w:hAnsi="Times New Roman" w:cs="Times New Roman" w:eastAsiaTheme="minorEastAsia"/>
                <w:color w:val="auto"/>
                <w:kern w:val="0"/>
                <w:sz w:val="18"/>
                <w:szCs w:val="18"/>
                <w:highlight w:val="none"/>
                <w:lang w:eastAsia="zh-CN"/>
              </w:rPr>
              <w:t>，造成损失的，依法承担赔偿责任</w:t>
            </w:r>
          </w:p>
          <w:p w14:paraId="7D8D52C5">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p>
          <w:p w14:paraId="0A409567">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p>
        </w:tc>
        <w:tc>
          <w:tcPr>
            <w:tcW w:w="390" w:type="pct"/>
            <w:gridSpan w:val="3"/>
            <w:vMerge w:val="restart"/>
            <w:shd w:val="clear" w:color="auto" w:fill="auto"/>
            <w:tcMar>
              <w:top w:w="15" w:type="dxa"/>
              <w:left w:w="15" w:type="dxa"/>
              <w:right w:w="15" w:type="dxa"/>
            </w:tcMar>
            <w:vAlign w:val="center"/>
          </w:tcPr>
          <w:p w14:paraId="04D2A607">
            <w:pPr>
              <w:shd w:val="clear"/>
              <w:rPr>
                <w:rFonts w:hint="default" w:ascii="Times New Roman" w:hAnsi="Times New Roman" w:cs="Times New Roman" w:eastAsiaTheme="minorEastAsia"/>
                <w:color w:val="auto"/>
                <w:sz w:val="18"/>
                <w:szCs w:val="18"/>
                <w:highlight w:val="none"/>
                <w:lang w:val="en-US" w:eastAsia="zh-CN"/>
              </w:rPr>
            </w:pPr>
          </w:p>
        </w:tc>
      </w:tr>
      <w:tr w14:paraId="685C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17" w:type="pct"/>
            <w:gridSpan w:val="2"/>
            <w:vMerge w:val="continue"/>
            <w:shd w:val="clear" w:color="auto" w:fill="auto"/>
            <w:tcMar>
              <w:top w:w="15" w:type="dxa"/>
              <w:left w:w="15" w:type="dxa"/>
              <w:right w:w="15" w:type="dxa"/>
            </w:tcMar>
            <w:vAlign w:val="center"/>
          </w:tcPr>
          <w:p w14:paraId="11B64F15">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47BAC18C">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66E23E17">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15A2EC85">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7B4E2318">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572FAA41">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未保证整洁</w:t>
            </w:r>
            <w:r>
              <w:rPr>
                <w:rFonts w:hint="default" w:ascii="Times New Roman" w:hAnsi="Times New Roman" w:cs="Times New Roman" w:eastAsiaTheme="minorEastAsia"/>
                <w:color w:val="auto"/>
                <w:kern w:val="0"/>
                <w:sz w:val="18"/>
                <w:szCs w:val="18"/>
                <w:highlight w:val="none"/>
              </w:rPr>
              <w:t>1天</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2天</w:t>
            </w:r>
            <w:r>
              <w:rPr>
                <w:rFonts w:hint="default" w:ascii="Times New Roman" w:hAnsi="Times New Roman" w:cs="Times New Roman" w:eastAsiaTheme="minorEastAsia"/>
                <w:color w:val="auto"/>
                <w:kern w:val="0"/>
                <w:sz w:val="18"/>
                <w:szCs w:val="18"/>
                <w:highlight w:val="none"/>
                <w:lang w:eastAsia="zh-CN"/>
              </w:rPr>
              <w:t>以下；</w:t>
            </w:r>
          </w:p>
          <w:p w14:paraId="2F0129CB">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未保证整洁的区域20平方米以上50平方米以下；</w:t>
            </w:r>
          </w:p>
          <w:p w14:paraId="1B138A8F">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lang w:val="en-US" w:eastAsia="zh-CN"/>
              </w:rPr>
              <w:t>生活垃圾未堆置在指定区域内且尚未影响生活垃圾处理安全运营，及未造成生活垃圾处理停运</w:t>
            </w:r>
          </w:p>
        </w:tc>
        <w:tc>
          <w:tcPr>
            <w:tcW w:w="545" w:type="pct"/>
            <w:gridSpan w:val="2"/>
            <w:shd w:val="clear" w:color="auto" w:fill="auto"/>
            <w:tcMar>
              <w:top w:w="15" w:type="dxa"/>
              <w:left w:w="15" w:type="dxa"/>
              <w:right w:w="15" w:type="dxa"/>
            </w:tcMar>
            <w:vAlign w:val="center"/>
          </w:tcPr>
          <w:p w14:paraId="49ED983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w:t>
            </w:r>
            <w:r>
              <w:rPr>
                <w:rFonts w:hint="default" w:ascii="Times New Roman" w:hAnsi="Times New Roman" w:cs="Times New Roman" w:eastAsiaTheme="minorEastAsia"/>
                <w:color w:val="auto"/>
                <w:kern w:val="0"/>
                <w:sz w:val="18"/>
                <w:szCs w:val="18"/>
                <w:highlight w:val="none"/>
                <w:lang w:val="en-US" w:eastAsia="zh-CN"/>
              </w:rPr>
              <w:t>5.1万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7.9万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5913C6AC">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p>
        </w:tc>
        <w:tc>
          <w:tcPr>
            <w:tcW w:w="390" w:type="pct"/>
            <w:gridSpan w:val="3"/>
            <w:vMerge w:val="continue"/>
            <w:shd w:val="clear" w:color="auto" w:fill="auto"/>
            <w:tcMar>
              <w:top w:w="15" w:type="dxa"/>
              <w:left w:w="15" w:type="dxa"/>
              <w:right w:w="15" w:type="dxa"/>
            </w:tcMar>
            <w:vAlign w:val="center"/>
          </w:tcPr>
          <w:p w14:paraId="458169E6">
            <w:pPr>
              <w:shd w:val="clear"/>
              <w:rPr>
                <w:rFonts w:hint="default" w:ascii="Times New Roman" w:hAnsi="Times New Roman" w:cs="Times New Roman" w:eastAsiaTheme="minorEastAsia"/>
                <w:color w:val="auto"/>
                <w:sz w:val="18"/>
                <w:szCs w:val="18"/>
                <w:highlight w:val="none"/>
              </w:rPr>
            </w:pPr>
          </w:p>
        </w:tc>
      </w:tr>
      <w:tr w14:paraId="2984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17" w:type="pct"/>
            <w:gridSpan w:val="2"/>
            <w:vMerge w:val="continue"/>
            <w:shd w:val="clear" w:color="auto" w:fill="auto"/>
            <w:tcMar>
              <w:top w:w="15" w:type="dxa"/>
              <w:left w:w="15" w:type="dxa"/>
              <w:right w:w="15" w:type="dxa"/>
            </w:tcMar>
            <w:vAlign w:val="center"/>
          </w:tcPr>
          <w:p w14:paraId="2E1EF47E">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66F26431">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29F84C4C">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15E372E3">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22CF3880">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3F186EC9">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未保证整洁</w:t>
            </w:r>
            <w:r>
              <w:rPr>
                <w:rFonts w:hint="default" w:ascii="Times New Roman" w:hAnsi="Times New Roman" w:cs="Times New Roman" w:eastAsiaTheme="minorEastAsia"/>
                <w:color w:val="auto"/>
                <w:kern w:val="0"/>
                <w:sz w:val="18"/>
                <w:szCs w:val="18"/>
                <w:highlight w:val="none"/>
              </w:rPr>
              <w:t>2天</w:t>
            </w:r>
            <w:r>
              <w:rPr>
                <w:rFonts w:hint="default" w:ascii="Times New Roman" w:hAnsi="Times New Roman" w:cs="Times New Roman" w:eastAsiaTheme="minorEastAsia"/>
                <w:color w:val="auto"/>
                <w:kern w:val="0"/>
                <w:sz w:val="18"/>
                <w:szCs w:val="18"/>
                <w:highlight w:val="none"/>
                <w:lang w:eastAsia="zh-CN"/>
              </w:rPr>
              <w:t>以上；</w:t>
            </w:r>
          </w:p>
          <w:p w14:paraId="7DB0C1A1">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未保证整洁的区域50平方米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w:t>
            </w:r>
          </w:p>
          <w:p w14:paraId="22C3A546">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已</w:t>
            </w:r>
            <w:r>
              <w:rPr>
                <w:rFonts w:hint="default" w:ascii="Times New Roman" w:hAnsi="Times New Roman" w:cs="Times New Roman" w:eastAsiaTheme="minorEastAsia"/>
                <w:color w:val="auto"/>
                <w:kern w:val="0"/>
                <w:sz w:val="18"/>
                <w:szCs w:val="18"/>
                <w:highlight w:val="none"/>
              </w:rPr>
              <w:t>影响处置站、场（厂）安全运营或造成生活垃圾处理停运</w:t>
            </w:r>
          </w:p>
        </w:tc>
        <w:tc>
          <w:tcPr>
            <w:tcW w:w="545" w:type="pct"/>
            <w:gridSpan w:val="2"/>
            <w:shd w:val="clear" w:color="auto" w:fill="auto"/>
            <w:tcMar>
              <w:top w:w="15" w:type="dxa"/>
              <w:left w:w="15" w:type="dxa"/>
              <w:right w:w="15" w:type="dxa"/>
            </w:tcMar>
            <w:vAlign w:val="center"/>
          </w:tcPr>
          <w:p w14:paraId="51B2378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w:t>
            </w:r>
            <w:r>
              <w:rPr>
                <w:rFonts w:hint="default" w:ascii="Times New Roman" w:hAnsi="Times New Roman" w:cs="Times New Roman" w:eastAsiaTheme="minorEastAsia"/>
                <w:color w:val="auto"/>
                <w:kern w:val="0"/>
                <w:sz w:val="18"/>
                <w:szCs w:val="18"/>
                <w:highlight w:val="none"/>
                <w:lang w:val="en-US" w:eastAsia="zh-CN"/>
              </w:rPr>
              <w:t>7.9万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2582C746">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p>
        </w:tc>
        <w:tc>
          <w:tcPr>
            <w:tcW w:w="390" w:type="pct"/>
            <w:gridSpan w:val="3"/>
            <w:vMerge w:val="continue"/>
            <w:shd w:val="clear" w:color="auto" w:fill="auto"/>
            <w:tcMar>
              <w:top w:w="15" w:type="dxa"/>
              <w:left w:w="15" w:type="dxa"/>
              <w:right w:w="15" w:type="dxa"/>
            </w:tcMar>
            <w:vAlign w:val="center"/>
          </w:tcPr>
          <w:p w14:paraId="46528CE2">
            <w:pPr>
              <w:shd w:val="clear"/>
              <w:rPr>
                <w:rFonts w:hint="default" w:ascii="Times New Roman" w:hAnsi="Times New Roman" w:cs="Times New Roman" w:eastAsiaTheme="minorEastAsia"/>
                <w:color w:val="auto"/>
                <w:sz w:val="18"/>
                <w:szCs w:val="18"/>
                <w:highlight w:val="none"/>
              </w:rPr>
            </w:pPr>
          </w:p>
        </w:tc>
      </w:tr>
      <w:tr w14:paraId="794C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rPr>
        <w:tc>
          <w:tcPr>
            <w:tcW w:w="117" w:type="pct"/>
            <w:gridSpan w:val="2"/>
            <w:vMerge w:val="restart"/>
            <w:shd w:val="clear" w:color="auto" w:fill="auto"/>
            <w:tcMar>
              <w:top w:w="15" w:type="dxa"/>
              <w:left w:w="15" w:type="dxa"/>
              <w:right w:w="15" w:type="dxa"/>
            </w:tcMar>
            <w:vAlign w:val="center"/>
          </w:tcPr>
          <w:p w14:paraId="4DECDEA6">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27</w:t>
            </w:r>
          </w:p>
        </w:tc>
        <w:tc>
          <w:tcPr>
            <w:tcW w:w="411" w:type="pct"/>
            <w:gridSpan w:val="2"/>
            <w:vMerge w:val="restart"/>
            <w:shd w:val="clear" w:color="auto" w:fill="auto"/>
            <w:tcMar>
              <w:top w:w="15" w:type="dxa"/>
              <w:left w:w="15" w:type="dxa"/>
              <w:right w:w="15" w:type="dxa"/>
            </w:tcMar>
            <w:vAlign w:val="center"/>
          </w:tcPr>
          <w:p w14:paraId="1A0FAF69">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从事城市生活垃圾经营性处置的企业未按照要求配备合格的管理人员及操作人员</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6673B14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《城市生活垃圾管理办法》第二十八条</w:t>
            </w:r>
            <w:r>
              <w:rPr>
                <w:rFonts w:hint="default" w:ascii="Times New Roman" w:hAnsi="Times New Roman" w:cs="Times New Roman" w:eastAsiaTheme="minorEastAsia"/>
                <w:color w:val="auto"/>
                <w:kern w:val="0"/>
                <w:sz w:val="18"/>
                <w:szCs w:val="18"/>
                <w:highlight w:val="none"/>
                <w:lang w:eastAsia="zh-CN"/>
              </w:rPr>
              <w:t>第六项</w:t>
            </w:r>
            <w:r>
              <w:rPr>
                <w:rFonts w:hint="default" w:ascii="Times New Roman" w:hAnsi="Times New Roman" w:cs="Times New Roman" w:eastAsiaTheme="minorEastAsia"/>
                <w:color w:val="auto"/>
                <w:kern w:val="0"/>
                <w:sz w:val="18"/>
                <w:szCs w:val="18"/>
                <w:highlight w:val="none"/>
              </w:rPr>
              <w:t>：“从事城市生活垃圾经营性处置的企业应当履行以下义务：（六）按照要求配备合格的管理人员及操作人员；”</w:t>
            </w:r>
          </w:p>
        </w:tc>
        <w:tc>
          <w:tcPr>
            <w:tcW w:w="1314" w:type="pct"/>
            <w:gridSpan w:val="2"/>
            <w:vMerge w:val="restart"/>
            <w:shd w:val="clear" w:color="auto" w:fill="auto"/>
            <w:tcMar>
              <w:top w:w="15" w:type="dxa"/>
              <w:left w:w="15" w:type="dxa"/>
              <w:right w:w="15" w:type="dxa"/>
            </w:tcMar>
            <w:vAlign w:val="center"/>
          </w:tcPr>
          <w:p w14:paraId="57C0A04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生活垃圾管理办法》第四十五条：“……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77" w:type="pct"/>
            <w:gridSpan w:val="2"/>
            <w:shd w:val="clear" w:color="auto" w:fill="auto"/>
            <w:tcMar>
              <w:top w:w="15" w:type="dxa"/>
              <w:left w:w="15" w:type="dxa"/>
              <w:right w:w="15" w:type="dxa"/>
            </w:tcMar>
            <w:vAlign w:val="center"/>
          </w:tcPr>
          <w:p w14:paraId="4DC64DE5">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3471BE48">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欠缺1人</w:t>
            </w:r>
            <w:r>
              <w:rPr>
                <w:rFonts w:hint="default" w:ascii="Times New Roman" w:hAnsi="Times New Roman" w:cs="Times New Roman" w:eastAsiaTheme="minorEastAsia"/>
                <w:color w:val="auto"/>
                <w:kern w:val="0"/>
                <w:sz w:val="18"/>
                <w:szCs w:val="18"/>
                <w:highlight w:val="none"/>
                <w:lang w:val="en-US" w:eastAsia="zh-CN"/>
              </w:rPr>
              <w:t>;</w:t>
            </w:r>
          </w:p>
          <w:p w14:paraId="7BEC05B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1人不符合任职条件</w:t>
            </w:r>
          </w:p>
        </w:tc>
        <w:tc>
          <w:tcPr>
            <w:tcW w:w="545" w:type="pct"/>
            <w:gridSpan w:val="2"/>
            <w:shd w:val="clear" w:color="auto" w:fill="auto"/>
            <w:tcMar>
              <w:top w:w="15" w:type="dxa"/>
              <w:left w:w="15" w:type="dxa"/>
              <w:right w:w="15" w:type="dxa"/>
            </w:tcMar>
            <w:vAlign w:val="center"/>
          </w:tcPr>
          <w:p w14:paraId="724D6AC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5.1万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restart"/>
            <w:shd w:val="clear" w:color="auto" w:fill="auto"/>
            <w:tcMar>
              <w:top w:w="15" w:type="dxa"/>
              <w:left w:w="15" w:type="dxa"/>
              <w:right w:w="15" w:type="dxa"/>
            </w:tcMar>
            <w:vAlign w:val="center"/>
          </w:tcPr>
          <w:p w14:paraId="0984B9EA">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w:t>
            </w:r>
            <w:r>
              <w:rPr>
                <w:rFonts w:hint="default" w:ascii="Times New Roman" w:hAnsi="Times New Roman" w:cs="Times New Roman" w:eastAsiaTheme="minorEastAsia"/>
                <w:color w:val="auto"/>
                <w:kern w:val="0"/>
                <w:sz w:val="18"/>
                <w:szCs w:val="18"/>
                <w:highlight w:val="none"/>
                <w:lang w:eastAsia="zh-CN"/>
              </w:rPr>
              <w:t>，造成损失的，依法承担赔偿责任</w:t>
            </w:r>
          </w:p>
          <w:p w14:paraId="0AA98D03">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p>
          <w:p w14:paraId="03363861">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p>
        </w:tc>
        <w:tc>
          <w:tcPr>
            <w:tcW w:w="390" w:type="pct"/>
            <w:gridSpan w:val="3"/>
            <w:vMerge w:val="restart"/>
            <w:shd w:val="clear" w:color="auto" w:fill="auto"/>
            <w:tcMar>
              <w:top w:w="15" w:type="dxa"/>
              <w:left w:w="15" w:type="dxa"/>
              <w:right w:w="15" w:type="dxa"/>
            </w:tcMar>
            <w:vAlign w:val="center"/>
          </w:tcPr>
          <w:p w14:paraId="7A4D522C">
            <w:pPr>
              <w:shd w:val="clear"/>
              <w:rPr>
                <w:rFonts w:hint="default" w:ascii="Times New Roman" w:hAnsi="Times New Roman" w:cs="Times New Roman" w:eastAsiaTheme="minorEastAsia"/>
                <w:color w:val="auto"/>
                <w:sz w:val="18"/>
                <w:szCs w:val="18"/>
                <w:highlight w:val="none"/>
                <w:lang w:val="en-US" w:eastAsia="zh-CN"/>
              </w:rPr>
            </w:pPr>
          </w:p>
        </w:tc>
      </w:tr>
      <w:tr w14:paraId="04A9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rPr>
        <w:tc>
          <w:tcPr>
            <w:tcW w:w="117" w:type="pct"/>
            <w:gridSpan w:val="2"/>
            <w:vMerge w:val="continue"/>
            <w:shd w:val="clear" w:color="auto" w:fill="auto"/>
            <w:tcMar>
              <w:top w:w="15" w:type="dxa"/>
              <w:left w:w="15" w:type="dxa"/>
              <w:right w:w="15" w:type="dxa"/>
            </w:tcMar>
            <w:vAlign w:val="center"/>
          </w:tcPr>
          <w:p w14:paraId="3ACC65E4">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1FC961EE">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3688103">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3D32637E">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1565C6B1">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61C41173">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欠缺2人</w:t>
            </w:r>
            <w:r>
              <w:rPr>
                <w:rFonts w:hint="default" w:ascii="Times New Roman" w:hAnsi="Times New Roman" w:cs="Times New Roman" w:eastAsiaTheme="minorEastAsia"/>
                <w:color w:val="auto"/>
                <w:kern w:val="0"/>
                <w:sz w:val="18"/>
                <w:szCs w:val="18"/>
                <w:highlight w:val="none"/>
                <w:lang w:eastAsia="zh-CN"/>
              </w:rPr>
              <w:t>至</w:t>
            </w:r>
            <w:r>
              <w:rPr>
                <w:rFonts w:hint="default" w:ascii="Times New Roman" w:hAnsi="Times New Roman" w:cs="Times New Roman" w:eastAsiaTheme="minorEastAsia"/>
                <w:color w:val="auto"/>
                <w:kern w:val="0"/>
                <w:sz w:val="18"/>
                <w:szCs w:val="18"/>
                <w:highlight w:val="none"/>
              </w:rPr>
              <w:t>4人</w:t>
            </w:r>
            <w:r>
              <w:rPr>
                <w:rFonts w:hint="default" w:ascii="Times New Roman" w:hAnsi="Times New Roman" w:cs="Times New Roman" w:eastAsiaTheme="minorEastAsia"/>
                <w:color w:val="auto"/>
                <w:kern w:val="0"/>
                <w:sz w:val="18"/>
                <w:szCs w:val="18"/>
                <w:highlight w:val="none"/>
                <w:lang w:eastAsia="zh-CN"/>
              </w:rPr>
              <w:t>；</w:t>
            </w:r>
          </w:p>
          <w:p w14:paraId="6066A74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2人</w:t>
            </w:r>
            <w:r>
              <w:rPr>
                <w:rFonts w:hint="default" w:ascii="Times New Roman" w:hAnsi="Times New Roman" w:cs="Times New Roman" w:eastAsiaTheme="minorEastAsia"/>
                <w:color w:val="auto"/>
                <w:kern w:val="0"/>
                <w:sz w:val="18"/>
                <w:szCs w:val="18"/>
                <w:highlight w:val="none"/>
                <w:lang w:eastAsia="zh-CN"/>
              </w:rPr>
              <w:t>至</w:t>
            </w:r>
            <w:r>
              <w:rPr>
                <w:rFonts w:hint="default" w:ascii="Times New Roman" w:hAnsi="Times New Roman" w:cs="Times New Roman" w:eastAsiaTheme="minorEastAsia"/>
                <w:color w:val="auto"/>
                <w:kern w:val="0"/>
                <w:sz w:val="18"/>
                <w:szCs w:val="18"/>
                <w:highlight w:val="none"/>
              </w:rPr>
              <w:t>4人不符合任职条件</w:t>
            </w:r>
          </w:p>
        </w:tc>
        <w:tc>
          <w:tcPr>
            <w:tcW w:w="545" w:type="pct"/>
            <w:gridSpan w:val="2"/>
            <w:shd w:val="clear" w:color="auto" w:fill="auto"/>
            <w:tcMar>
              <w:top w:w="15" w:type="dxa"/>
              <w:left w:w="15" w:type="dxa"/>
              <w:right w:w="15" w:type="dxa"/>
            </w:tcMar>
            <w:vAlign w:val="center"/>
          </w:tcPr>
          <w:p w14:paraId="37075DB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w:t>
            </w:r>
            <w:r>
              <w:rPr>
                <w:rFonts w:hint="default" w:ascii="Times New Roman" w:hAnsi="Times New Roman" w:cs="Times New Roman" w:eastAsiaTheme="minorEastAsia"/>
                <w:color w:val="auto"/>
                <w:kern w:val="0"/>
                <w:sz w:val="18"/>
                <w:szCs w:val="18"/>
                <w:highlight w:val="none"/>
                <w:lang w:val="en-US" w:eastAsia="zh-CN"/>
              </w:rPr>
              <w:t>5.1万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7.9万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5E8E863C">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p>
        </w:tc>
        <w:tc>
          <w:tcPr>
            <w:tcW w:w="390" w:type="pct"/>
            <w:gridSpan w:val="3"/>
            <w:vMerge w:val="continue"/>
            <w:shd w:val="clear" w:color="auto" w:fill="auto"/>
            <w:tcMar>
              <w:top w:w="15" w:type="dxa"/>
              <w:left w:w="15" w:type="dxa"/>
              <w:right w:w="15" w:type="dxa"/>
            </w:tcMar>
            <w:vAlign w:val="center"/>
          </w:tcPr>
          <w:p w14:paraId="39835131">
            <w:pPr>
              <w:shd w:val="clear"/>
              <w:rPr>
                <w:rFonts w:hint="default" w:ascii="Times New Roman" w:hAnsi="Times New Roman" w:cs="Times New Roman" w:eastAsiaTheme="minorEastAsia"/>
                <w:color w:val="auto"/>
                <w:sz w:val="18"/>
                <w:szCs w:val="18"/>
                <w:highlight w:val="none"/>
              </w:rPr>
            </w:pPr>
          </w:p>
        </w:tc>
      </w:tr>
      <w:tr w14:paraId="72FC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rPr>
        <w:tc>
          <w:tcPr>
            <w:tcW w:w="117" w:type="pct"/>
            <w:gridSpan w:val="2"/>
            <w:vMerge w:val="continue"/>
            <w:shd w:val="clear" w:color="auto" w:fill="auto"/>
            <w:tcMar>
              <w:top w:w="15" w:type="dxa"/>
              <w:left w:w="15" w:type="dxa"/>
              <w:right w:w="15" w:type="dxa"/>
            </w:tcMar>
            <w:vAlign w:val="center"/>
          </w:tcPr>
          <w:p w14:paraId="5D207C55">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591D92D7">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2D09B1F">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7397176B">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399F0A77">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61914464">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欠缺</w:t>
            </w:r>
            <w:r>
              <w:rPr>
                <w:rFonts w:hint="default" w:ascii="Times New Roman" w:hAnsi="Times New Roman" w:cs="Times New Roman" w:eastAsiaTheme="minorEastAsia"/>
                <w:color w:val="auto"/>
                <w:kern w:val="0"/>
                <w:sz w:val="18"/>
                <w:szCs w:val="18"/>
                <w:highlight w:val="none"/>
                <w:lang w:val="en-US" w:eastAsia="zh-CN"/>
              </w:rPr>
              <w:t>5</w:t>
            </w:r>
            <w:r>
              <w:rPr>
                <w:rFonts w:hint="default" w:ascii="Times New Roman" w:hAnsi="Times New Roman" w:cs="Times New Roman" w:eastAsiaTheme="minorEastAsia"/>
                <w:color w:val="auto"/>
                <w:kern w:val="0"/>
                <w:sz w:val="18"/>
                <w:szCs w:val="18"/>
                <w:highlight w:val="none"/>
              </w:rPr>
              <w:t>人</w:t>
            </w:r>
            <w:r>
              <w:rPr>
                <w:rFonts w:hint="default" w:ascii="Times New Roman" w:hAnsi="Times New Roman" w:cs="Times New Roman" w:eastAsiaTheme="minorEastAsia"/>
                <w:color w:val="auto"/>
                <w:kern w:val="0"/>
                <w:sz w:val="18"/>
                <w:szCs w:val="18"/>
                <w:highlight w:val="none"/>
                <w:lang w:eastAsia="zh-CN"/>
              </w:rPr>
              <w:t>以上；</w:t>
            </w:r>
          </w:p>
          <w:p w14:paraId="06100C2C">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lang w:val="en-US" w:eastAsia="zh-CN"/>
              </w:rPr>
              <w:t>5人以上</w:t>
            </w:r>
            <w:r>
              <w:rPr>
                <w:rFonts w:hint="default" w:ascii="Times New Roman" w:hAnsi="Times New Roman" w:cs="Times New Roman" w:eastAsiaTheme="minorEastAsia"/>
                <w:color w:val="auto"/>
                <w:kern w:val="0"/>
                <w:sz w:val="18"/>
                <w:szCs w:val="18"/>
                <w:highlight w:val="none"/>
              </w:rPr>
              <w:t>不符合任职条件，或技术负责人不符合任职条件</w:t>
            </w:r>
          </w:p>
        </w:tc>
        <w:tc>
          <w:tcPr>
            <w:tcW w:w="545" w:type="pct"/>
            <w:gridSpan w:val="2"/>
            <w:shd w:val="clear" w:color="auto" w:fill="auto"/>
            <w:tcMar>
              <w:top w:w="15" w:type="dxa"/>
              <w:left w:w="15" w:type="dxa"/>
              <w:right w:w="15" w:type="dxa"/>
            </w:tcMar>
            <w:vAlign w:val="center"/>
          </w:tcPr>
          <w:p w14:paraId="2C97B03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w:t>
            </w:r>
            <w:r>
              <w:rPr>
                <w:rFonts w:hint="default" w:ascii="Times New Roman" w:hAnsi="Times New Roman" w:cs="Times New Roman" w:eastAsiaTheme="minorEastAsia"/>
                <w:color w:val="auto"/>
                <w:kern w:val="0"/>
                <w:sz w:val="18"/>
                <w:szCs w:val="18"/>
                <w:highlight w:val="none"/>
                <w:lang w:val="en-US" w:eastAsia="zh-CN"/>
              </w:rPr>
              <w:t>7.9万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6ABCAB8A">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p>
        </w:tc>
        <w:tc>
          <w:tcPr>
            <w:tcW w:w="390" w:type="pct"/>
            <w:gridSpan w:val="3"/>
            <w:vMerge w:val="continue"/>
            <w:shd w:val="clear" w:color="auto" w:fill="auto"/>
            <w:tcMar>
              <w:top w:w="15" w:type="dxa"/>
              <w:left w:w="15" w:type="dxa"/>
              <w:right w:w="15" w:type="dxa"/>
            </w:tcMar>
            <w:vAlign w:val="center"/>
          </w:tcPr>
          <w:p w14:paraId="14D16848">
            <w:pPr>
              <w:shd w:val="clear"/>
              <w:rPr>
                <w:rFonts w:hint="default" w:ascii="Times New Roman" w:hAnsi="Times New Roman" w:cs="Times New Roman" w:eastAsiaTheme="minorEastAsia"/>
                <w:color w:val="auto"/>
                <w:sz w:val="18"/>
                <w:szCs w:val="18"/>
                <w:highlight w:val="none"/>
              </w:rPr>
            </w:pPr>
          </w:p>
        </w:tc>
      </w:tr>
      <w:tr w14:paraId="2C58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3" w:hRule="atLeast"/>
        </w:trPr>
        <w:tc>
          <w:tcPr>
            <w:tcW w:w="117" w:type="pct"/>
            <w:gridSpan w:val="2"/>
            <w:vMerge w:val="restart"/>
            <w:shd w:val="clear" w:color="auto" w:fill="auto"/>
            <w:tcMar>
              <w:top w:w="15" w:type="dxa"/>
              <w:left w:w="15" w:type="dxa"/>
              <w:right w:w="15" w:type="dxa"/>
            </w:tcMar>
            <w:vAlign w:val="center"/>
          </w:tcPr>
          <w:p w14:paraId="2BECB8C0">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28</w:t>
            </w:r>
          </w:p>
        </w:tc>
        <w:tc>
          <w:tcPr>
            <w:tcW w:w="411" w:type="pct"/>
            <w:gridSpan w:val="2"/>
            <w:vMerge w:val="restart"/>
            <w:shd w:val="clear" w:color="auto" w:fill="auto"/>
            <w:tcMar>
              <w:top w:w="15" w:type="dxa"/>
              <w:left w:w="15" w:type="dxa"/>
              <w:right w:w="15" w:type="dxa"/>
            </w:tcMar>
            <w:vAlign w:val="center"/>
          </w:tcPr>
          <w:p w14:paraId="37D7BE70">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从事城市生活垃圾经营性处置的企业未对每日收运、进出场站、处置的生活垃圾进行计量，未按照要求将统计数据和报表报送所在地建设（环境卫生）主管部门</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6763ABC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《城市生活垃圾管理办法》第二十八条</w:t>
            </w:r>
            <w:r>
              <w:rPr>
                <w:rFonts w:hint="default" w:ascii="Times New Roman" w:hAnsi="Times New Roman" w:cs="Times New Roman" w:eastAsiaTheme="minorEastAsia"/>
                <w:color w:val="auto"/>
                <w:kern w:val="0"/>
                <w:sz w:val="18"/>
                <w:szCs w:val="18"/>
                <w:highlight w:val="none"/>
                <w:lang w:eastAsia="zh-CN"/>
              </w:rPr>
              <w:t>第七项</w:t>
            </w:r>
            <w:r>
              <w:rPr>
                <w:rFonts w:hint="default" w:ascii="Times New Roman" w:hAnsi="Times New Roman" w:cs="Times New Roman" w:eastAsiaTheme="minorEastAsia"/>
                <w:color w:val="auto"/>
                <w:kern w:val="0"/>
                <w:sz w:val="18"/>
                <w:szCs w:val="18"/>
                <w:highlight w:val="none"/>
              </w:rPr>
              <w:t>：“从事城市生活垃圾经营性处置的企业应当履行以下义务：（七）对每日收运、进出场站、处置的生活垃圾进行计量，按照要求将统计数据和报表报送所在地建设（环境卫生）主管部门；”</w:t>
            </w:r>
          </w:p>
        </w:tc>
        <w:tc>
          <w:tcPr>
            <w:tcW w:w="1314" w:type="pct"/>
            <w:gridSpan w:val="2"/>
            <w:vMerge w:val="restart"/>
            <w:shd w:val="clear" w:color="auto" w:fill="auto"/>
            <w:tcMar>
              <w:top w:w="15" w:type="dxa"/>
              <w:left w:w="15" w:type="dxa"/>
              <w:right w:w="15" w:type="dxa"/>
            </w:tcMar>
            <w:vAlign w:val="center"/>
          </w:tcPr>
          <w:p w14:paraId="3F36E9D7">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生活垃圾管理办法》第四十五条：“……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77" w:type="pct"/>
            <w:gridSpan w:val="2"/>
            <w:shd w:val="clear" w:color="auto" w:fill="auto"/>
            <w:tcMar>
              <w:top w:w="15" w:type="dxa"/>
              <w:left w:w="15" w:type="dxa"/>
              <w:right w:w="15" w:type="dxa"/>
            </w:tcMar>
            <w:vAlign w:val="center"/>
          </w:tcPr>
          <w:p w14:paraId="0D7D0F19">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7354FEC1">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造成3天</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rPr>
              <w:t>的数据缺失；</w:t>
            </w:r>
          </w:p>
          <w:p w14:paraId="27D17F5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超期报送主管部门5个工作日</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03F4525A">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5.1万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restart"/>
            <w:shd w:val="clear" w:color="auto" w:fill="auto"/>
            <w:tcMar>
              <w:top w:w="15" w:type="dxa"/>
              <w:left w:w="15" w:type="dxa"/>
              <w:right w:w="15" w:type="dxa"/>
            </w:tcMar>
            <w:vAlign w:val="center"/>
          </w:tcPr>
          <w:p w14:paraId="7428B396">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w:t>
            </w:r>
            <w:r>
              <w:rPr>
                <w:rFonts w:hint="default" w:ascii="Times New Roman" w:hAnsi="Times New Roman" w:cs="Times New Roman" w:eastAsiaTheme="minorEastAsia"/>
                <w:color w:val="auto"/>
                <w:kern w:val="0"/>
                <w:sz w:val="18"/>
                <w:szCs w:val="18"/>
                <w:highlight w:val="none"/>
                <w:lang w:eastAsia="zh-CN"/>
              </w:rPr>
              <w:t>，造成损失的，依法承担赔偿责任</w:t>
            </w:r>
          </w:p>
          <w:p w14:paraId="7848B1A5">
            <w:pPr>
              <w:widowControl/>
              <w:shd w:val="clear"/>
              <w:jc w:val="left"/>
              <w:textAlignment w:val="center"/>
              <w:rPr>
                <w:rFonts w:hint="default" w:ascii="Times New Roman" w:hAnsi="Times New Roman" w:cs="Times New Roman" w:eastAsiaTheme="minorEastAsia"/>
                <w:color w:val="auto"/>
                <w:sz w:val="18"/>
                <w:szCs w:val="18"/>
                <w:highlight w:val="none"/>
              </w:rPr>
            </w:pPr>
          </w:p>
          <w:p w14:paraId="55930F88">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2BDB3099">
            <w:pPr>
              <w:shd w:val="clear"/>
              <w:rPr>
                <w:rFonts w:hint="default" w:ascii="Times New Roman" w:hAnsi="Times New Roman" w:cs="Times New Roman" w:eastAsiaTheme="minorEastAsia"/>
                <w:color w:val="auto"/>
                <w:sz w:val="18"/>
                <w:szCs w:val="18"/>
                <w:highlight w:val="none"/>
                <w:lang w:val="en-US" w:eastAsia="zh-CN"/>
              </w:rPr>
            </w:pPr>
          </w:p>
        </w:tc>
      </w:tr>
      <w:tr w14:paraId="1330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trPr>
        <w:tc>
          <w:tcPr>
            <w:tcW w:w="117" w:type="pct"/>
            <w:gridSpan w:val="2"/>
            <w:vMerge w:val="continue"/>
            <w:shd w:val="clear" w:color="auto" w:fill="auto"/>
            <w:tcMar>
              <w:top w:w="15" w:type="dxa"/>
              <w:left w:w="15" w:type="dxa"/>
              <w:right w:w="15" w:type="dxa"/>
            </w:tcMar>
            <w:vAlign w:val="center"/>
          </w:tcPr>
          <w:p w14:paraId="3D4C1074">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6C7FF555">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1EA74E2">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3EAFEA78">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04FDA689">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091ED4CE">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造成3天</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5天</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rPr>
              <w:t>的数据缺失；</w:t>
            </w:r>
          </w:p>
          <w:p w14:paraId="28C863E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超期报送主管部门5个工作日</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10个工作日</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78F60C6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w:t>
            </w:r>
            <w:r>
              <w:rPr>
                <w:rFonts w:hint="default" w:ascii="Times New Roman" w:hAnsi="Times New Roman" w:cs="Times New Roman" w:eastAsiaTheme="minorEastAsia"/>
                <w:color w:val="auto"/>
                <w:kern w:val="0"/>
                <w:sz w:val="18"/>
                <w:szCs w:val="18"/>
                <w:highlight w:val="none"/>
                <w:lang w:val="en-US" w:eastAsia="zh-CN"/>
              </w:rPr>
              <w:t>5.1万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7.9万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330050CB">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7BA0AB35">
            <w:pPr>
              <w:shd w:val="clear"/>
              <w:rPr>
                <w:rFonts w:hint="default" w:ascii="Times New Roman" w:hAnsi="Times New Roman" w:cs="Times New Roman" w:eastAsiaTheme="minorEastAsia"/>
                <w:color w:val="auto"/>
                <w:sz w:val="18"/>
                <w:szCs w:val="18"/>
                <w:highlight w:val="none"/>
              </w:rPr>
            </w:pPr>
          </w:p>
        </w:tc>
      </w:tr>
      <w:tr w14:paraId="0EF0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rPr>
        <w:tc>
          <w:tcPr>
            <w:tcW w:w="117" w:type="pct"/>
            <w:gridSpan w:val="2"/>
            <w:vMerge w:val="continue"/>
            <w:shd w:val="clear" w:color="auto" w:fill="auto"/>
            <w:tcMar>
              <w:top w:w="15" w:type="dxa"/>
              <w:left w:w="15" w:type="dxa"/>
              <w:right w:w="15" w:type="dxa"/>
            </w:tcMar>
            <w:vAlign w:val="center"/>
          </w:tcPr>
          <w:p w14:paraId="72CDC8E5">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0BCDBF92">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70B1328C">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3989DAF2">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36E89941">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00C8597E">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造成5天</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的数据缺失；</w:t>
            </w:r>
          </w:p>
          <w:p w14:paraId="757AFA73">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超期报送主管部门10个工作日</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1DA51AA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w:t>
            </w:r>
            <w:r>
              <w:rPr>
                <w:rFonts w:hint="default" w:ascii="Times New Roman" w:hAnsi="Times New Roman" w:cs="Times New Roman" w:eastAsiaTheme="minorEastAsia"/>
                <w:color w:val="auto"/>
                <w:kern w:val="0"/>
                <w:sz w:val="18"/>
                <w:szCs w:val="18"/>
                <w:highlight w:val="none"/>
                <w:lang w:val="en-US" w:eastAsia="zh-CN"/>
              </w:rPr>
              <w:t>7.9万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76E20B40">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60AFD09F">
            <w:pPr>
              <w:shd w:val="clear"/>
              <w:rPr>
                <w:rFonts w:hint="default" w:ascii="Times New Roman" w:hAnsi="Times New Roman" w:cs="Times New Roman" w:eastAsiaTheme="minorEastAsia"/>
                <w:color w:val="auto"/>
                <w:sz w:val="18"/>
                <w:szCs w:val="18"/>
                <w:highlight w:val="none"/>
              </w:rPr>
            </w:pPr>
          </w:p>
        </w:tc>
      </w:tr>
      <w:tr w14:paraId="1B33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0" w:hRule="atLeast"/>
        </w:trPr>
        <w:tc>
          <w:tcPr>
            <w:tcW w:w="117" w:type="pct"/>
            <w:gridSpan w:val="2"/>
            <w:vMerge w:val="restart"/>
            <w:shd w:val="clear" w:color="auto" w:fill="auto"/>
            <w:tcMar>
              <w:top w:w="15" w:type="dxa"/>
              <w:left w:w="15" w:type="dxa"/>
              <w:right w:w="15" w:type="dxa"/>
            </w:tcMar>
            <w:vAlign w:val="center"/>
          </w:tcPr>
          <w:p w14:paraId="0ADF0559">
            <w:pPr>
              <w:widowControl/>
              <w:shd w:val="clear"/>
              <w:jc w:val="center"/>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29</w:t>
            </w:r>
          </w:p>
        </w:tc>
        <w:tc>
          <w:tcPr>
            <w:tcW w:w="411" w:type="pct"/>
            <w:gridSpan w:val="2"/>
            <w:vMerge w:val="restart"/>
            <w:shd w:val="clear" w:color="auto" w:fill="auto"/>
            <w:tcMar>
              <w:top w:w="15" w:type="dxa"/>
              <w:left w:w="15" w:type="dxa"/>
              <w:right w:w="15" w:type="dxa"/>
            </w:tcMar>
            <w:vAlign w:val="center"/>
          </w:tcPr>
          <w:p w14:paraId="1E97175D">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从事城市生活垃圾经营性处置的企业未按照要求定期进行水、气、土壤等环境影响监测，对生活垃圾处理设施的性能和环保指标进行检测、评价，向所在地建设（环境卫生）主管部门报告检测、评价结果</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2F111F77">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《城市生活垃圾管理办法》第二十八条</w:t>
            </w:r>
            <w:r>
              <w:rPr>
                <w:rFonts w:hint="default" w:ascii="Times New Roman" w:hAnsi="Times New Roman" w:cs="Times New Roman" w:eastAsiaTheme="minorEastAsia"/>
                <w:color w:val="auto"/>
                <w:kern w:val="0"/>
                <w:sz w:val="18"/>
                <w:szCs w:val="18"/>
                <w:highlight w:val="none"/>
                <w:lang w:eastAsia="zh-CN"/>
              </w:rPr>
              <w:t>第八项</w:t>
            </w:r>
            <w:r>
              <w:rPr>
                <w:rFonts w:hint="default" w:ascii="Times New Roman" w:hAnsi="Times New Roman" w:cs="Times New Roman" w:eastAsiaTheme="minorEastAsia"/>
                <w:color w:val="auto"/>
                <w:kern w:val="0"/>
                <w:sz w:val="18"/>
                <w:szCs w:val="18"/>
                <w:highlight w:val="none"/>
              </w:rPr>
              <w:t>：“从事城市生活垃圾经营性处置的企业应当履行以下义务：（八）按照要求定期进行水、气、土壤等环境影响监测，对生活垃圾处理设施的性能和环保指标进行检测、评价，向所在地建设（环境卫生）主管部门报告检测、评价结果。”</w:t>
            </w:r>
          </w:p>
        </w:tc>
        <w:tc>
          <w:tcPr>
            <w:tcW w:w="1314" w:type="pct"/>
            <w:gridSpan w:val="2"/>
            <w:vMerge w:val="restart"/>
            <w:shd w:val="clear" w:color="auto" w:fill="auto"/>
            <w:tcMar>
              <w:top w:w="15" w:type="dxa"/>
              <w:left w:w="15" w:type="dxa"/>
              <w:right w:w="15" w:type="dxa"/>
            </w:tcMar>
            <w:vAlign w:val="center"/>
          </w:tcPr>
          <w:p w14:paraId="062DA69F">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生活垃圾管理办法》第四十五条：“……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77" w:type="pct"/>
            <w:gridSpan w:val="2"/>
            <w:shd w:val="clear" w:color="auto" w:fill="auto"/>
            <w:tcMar>
              <w:top w:w="15" w:type="dxa"/>
              <w:left w:w="15" w:type="dxa"/>
              <w:right w:w="15" w:type="dxa"/>
            </w:tcMar>
            <w:vAlign w:val="center"/>
          </w:tcPr>
          <w:p w14:paraId="6220AC9F">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67519B4A">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造成3天以下的数据缺失；</w:t>
            </w:r>
          </w:p>
          <w:p w14:paraId="3B5A3D6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超期报送主管部门5个工作日以下</w:t>
            </w:r>
          </w:p>
        </w:tc>
        <w:tc>
          <w:tcPr>
            <w:tcW w:w="545" w:type="pct"/>
            <w:gridSpan w:val="2"/>
            <w:shd w:val="clear" w:color="auto" w:fill="auto"/>
            <w:tcMar>
              <w:top w:w="15" w:type="dxa"/>
              <w:left w:w="15" w:type="dxa"/>
              <w:right w:w="15" w:type="dxa"/>
            </w:tcMar>
            <w:vAlign w:val="center"/>
          </w:tcPr>
          <w:p w14:paraId="1EE1FC5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5.1万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restart"/>
            <w:shd w:val="clear" w:color="auto" w:fill="auto"/>
            <w:tcMar>
              <w:top w:w="15" w:type="dxa"/>
              <w:left w:w="15" w:type="dxa"/>
              <w:right w:w="15" w:type="dxa"/>
            </w:tcMar>
            <w:vAlign w:val="center"/>
          </w:tcPr>
          <w:p w14:paraId="72AF486E">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w:t>
            </w:r>
            <w:r>
              <w:rPr>
                <w:rFonts w:hint="default" w:ascii="Times New Roman" w:hAnsi="Times New Roman" w:cs="Times New Roman" w:eastAsiaTheme="minorEastAsia"/>
                <w:color w:val="auto"/>
                <w:kern w:val="0"/>
                <w:sz w:val="18"/>
                <w:szCs w:val="18"/>
                <w:highlight w:val="none"/>
                <w:lang w:eastAsia="zh-CN"/>
              </w:rPr>
              <w:t>，造成损失的，依法承担赔偿责任</w:t>
            </w:r>
          </w:p>
          <w:p w14:paraId="0F272730">
            <w:pPr>
              <w:widowControl/>
              <w:shd w:val="clear"/>
              <w:jc w:val="left"/>
              <w:textAlignment w:val="center"/>
              <w:rPr>
                <w:rFonts w:hint="default" w:ascii="Times New Roman" w:hAnsi="Times New Roman" w:cs="Times New Roman" w:eastAsiaTheme="minorEastAsia"/>
                <w:color w:val="auto"/>
                <w:sz w:val="18"/>
                <w:szCs w:val="18"/>
                <w:highlight w:val="none"/>
              </w:rPr>
            </w:pPr>
          </w:p>
          <w:p w14:paraId="2AFA83A8">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1EC85D35">
            <w:pPr>
              <w:shd w:val="clear"/>
              <w:rPr>
                <w:rFonts w:hint="default" w:ascii="Times New Roman" w:hAnsi="Times New Roman" w:cs="Times New Roman" w:eastAsiaTheme="minorEastAsia"/>
                <w:color w:val="auto"/>
                <w:sz w:val="18"/>
                <w:szCs w:val="18"/>
                <w:highlight w:val="none"/>
                <w:lang w:val="en-US"/>
              </w:rPr>
            </w:pPr>
          </w:p>
        </w:tc>
      </w:tr>
      <w:tr w14:paraId="5F29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6" w:hRule="atLeast"/>
        </w:trPr>
        <w:tc>
          <w:tcPr>
            <w:tcW w:w="117" w:type="pct"/>
            <w:gridSpan w:val="2"/>
            <w:vMerge w:val="continue"/>
            <w:shd w:val="clear" w:color="auto" w:fill="auto"/>
            <w:tcMar>
              <w:top w:w="15" w:type="dxa"/>
              <w:left w:w="15" w:type="dxa"/>
              <w:right w:w="15" w:type="dxa"/>
            </w:tcMar>
            <w:vAlign w:val="center"/>
          </w:tcPr>
          <w:p w14:paraId="3D5ED49B">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6CE11B41">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EBDD99B">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69562485">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052D76C1">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6BE3C4CE">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造成3天以上5天以下的数据缺失；</w:t>
            </w:r>
          </w:p>
          <w:p w14:paraId="711C663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超期报送主管部门5个工作日以上10个工作日以下</w:t>
            </w:r>
          </w:p>
        </w:tc>
        <w:tc>
          <w:tcPr>
            <w:tcW w:w="545" w:type="pct"/>
            <w:gridSpan w:val="2"/>
            <w:shd w:val="clear" w:color="auto" w:fill="auto"/>
            <w:tcMar>
              <w:top w:w="15" w:type="dxa"/>
              <w:left w:w="15" w:type="dxa"/>
              <w:right w:w="15" w:type="dxa"/>
            </w:tcMar>
            <w:vAlign w:val="center"/>
          </w:tcPr>
          <w:p w14:paraId="6BE6D84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w:t>
            </w:r>
            <w:r>
              <w:rPr>
                <w:rFonts w:hint="default" w:ascii="Times New Roman" w:hAnsi="Times New Roman" w:cs="Times New Roman" w:eastAsiaTheme="minorEastAsia"/>
                <w:color w:val="auto"/>
                <w:kern w:val="0"/>
                <w:sz w:val="18"/>
                <w:szCs w:val="18"/>
                <w:highlight w:val="none"/>
                <w:lang w:val="en-US" w:eastAsia="zh-CN"/>
              </w:rPr>
              <w:t>5.1万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7.9万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553E1E0F">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02B844E5">
            <w:pPr>
              <w:shd w:val="clear"/>
              <w:rPr>
                <w:rFonts w:hint="default" w:ascii="Times New Roman" w:hAnsi="Times New Roman" w:cs="Times New Roman" w:eastAsiaTheme="minorEastAsia"/>
                <w:color w:val="auto"/>
                <w:sz w:val="18"/>
                <w:szCs w:val="18"/>
                <w:highlight w:val="none"/>
              </w:rPr>
            </w:pPr>
          </w:p>
        </w:tc>
      </w:tr>
      <w:tr w14:paraId="4E7D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trPr>
        <w:tc>
          <w:tcPr>
            <w:tcW w:w="117" w:type="pct"/>
            <w:gridSpan w:val="2"/>
            <w:vMerge w:val="continue"/>
            <w:shd w:val="clear" w:color="auto" w:fill="auto"/>
            <w:tcMar>
              <w:top w:w="15" w:type="dxa"/>
              <w:left w:w="15" w:type="dxa"/>
              <w:right w:w="15" w:type="dxa"/>
            </w:tcMar>
            <w:vAlign w:val="center"/>
          </w:tcPr>
          <w:p w14:paraId="330E94D5">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0E992B82">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3C90DBEB">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0F44591A">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5DD8E832">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0360B84B">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造成5天以上的数据缺失；</w:t>
            </w:r>
          </w:p>
          <w:p w14:paraId="69FAA61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超期报送主管部门10个工作日以上</w:t>
            </w:r>
          </w:p>
        </w:tc>
        <w:tc>
          <w:tcPr>
            <w:tcW w:w="545" w:type="pct"/>
            <w:gridSpan w:val="2"/>
            <w:shd w:val="clear" w:color="auto" w:fill="auto"/>
            <w:tcMar>
              <w:top w:w="15" w:type="dxa"/>
              <w:left w:w="15" w:type="dxa"/>
              <w:right w:w="15" w:type="dxa"/>
            </w:tcMar>
            <w:vAlign w:val="center"/>
          </w:tcPr>
          <w:p w14:paraId="782030D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w:t>
            </w:r>
            <w:r>
              <w:rPr>
                <w:rFonts w:hint="default" w:ascii="Times New Roman" w:hAnsi="Times New Roman" w:cs="Times New Roman" w:eastAsiaTheme="minorEastAsia"/>
                <w:color w:val="auto"/>
                <w:kern w:val="0"/>
                <w:sz w:val="18"/>
                <w:szCs w:val="18"/>
                <w:highlight w:val="none"/>
                <w:lang w:val="en-US" w:eastAsia="zh-CN"/>
              </w:rPr>
              <w:t>7.9万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3493998D">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53EE9AA0">
            <w:pPr>
              <w:shd w:val="clear"/>
              <w:rPr>
                <w:rFonts w:hint="default" w:ascii="Times New Roman" w:hAnsi="Times New Roman" w:cs="Times New Roman" w:eastAsiaTheme="minorEastAsia"/>
                <w:color w:val="auto"/>
                <w:sz w:val="18"/>
                <w:szCs w:val="18"/>
                <w:highlight w:val="none"/>
              </w:rPr>
            </w:pPr>
          </w:p>
        </w:tc>
      </w:tr>
      <w:tr w14:paraId="33F2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117" w:type="pct"/>
            <w:gridSpan w:val="2"/>
            <w:vMerge w:val="restart"/>
            <w:shd w:val="clear" w:color="auto" w:fill="auto"/>
            <w:tcMar>
              <w:top w:w="15" w:type="dxa"/>
              <w:left w:w="15" w:type="dxa"/>
              <w:right w:w="15" w:type="dxa"/>
            </w:tcMar>
            <w:vAlign w:val="center"/>
          </w:tcPr>
          <w:p w14:paraId="06AC8420">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sz w:val="18"/>
                <w:szCs w:val="18"/>
                <w:highlight w:val="none"/>
                <w:lang w:val="en-US" w:eastAsia="zh-CN"/>
              </w:rPr>
              <w:t>30</w:t>
            </w:r>
          </w:p>
        </w:tc>
        <w:tc>
          <w:tcPr>
            <w:tcW w:w="411" w:type="pct"/>
            <w:gridSpan w:val="2"/>
            <w:vMerge w:val="restart"/>
            <w:shd w:val="clear" w:color="auto" w:fill="auto"/>
            <w:tcMar>
              <w:top w:w="15" w:type="dxa"/>
              <w:left w:w="15" w:type="dxa"/>
              <w:right w:w="15" w:type="dxa"/>
            </w:tcMar>
            <w:vAlign w:val="center"/>
          </w:tcPr>
          <w:p w14:paraId="54A11971">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从事城市生活垃圾经营性处置的企业，未经批准擅自停业、歇业</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174B05F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生活垃圾管理办法》第三十五条第一款:“从事城市生活垃圾经营性清扫、收集、运输、处置的企业需停业、歇业的，应当提前半年向所在地直辖市、市、县人民政府建设（环境卫生）主管部门报告，经同意后方可停业或者歇业。”</w:t>
            </w:r>
          </w:p>
        </w:tc>
        <w:tc>
          <w:tcPr>
            <w:tcW w:w="1314" w:type="pct"/>
            <w:gridSpan w:val="2"/>
            <w:vMerge w:val="restart"/>
            <w:shd w:val="clear" w:color="auto" w:fill="auto"/>
            <w:tcMar>
              <w:top w:w="15" w:type="dxa"/>
              <w:left w:w="15" w:type="dxa"/>
              <w:right w:w="15" w:type="dxa"/>
            </w:tcMar>
            <w:vAlign w:val="center"/>
          </w:tcPr>
          <w:p w14:paraId="245BAE7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生活垃圾管理办法》第四十六条：“……从事城市生活垃圾经营性处置的企业，未经批准擅自停业、歇业的，由直辖市、市、县人民政府建设（环境卫生）主管部门责令限期改正，并可处以5万元以上10万元以下罚款。造成损失的，依法承担赔偿责任。”</w:t>
            </w:r>
          </w:p>
        </w:tc>
        <w:tc>
          <w:tcPr>
            <w:tcW w:w="177" w:type="pct"/>
            <w:gridSpan w:val="2"/>
            <w:shd w:val="clear" w:color="auto" w:fill="auto"/>
            <w:tcMar>
              <w:top w:w="15" w:type="dxa"/>
              <w:left w:w="15" w:type="dxa"/>
              <w:right w:w="15" w:type="dxa"/>
            </w:tcMar>
            <w:vAlign w:val="center"/>
          </w:tcPr>
          <w:p w14:paraId="50150891">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2D8203A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擅自</w:t>
            </w:r>
            <w:r>
              <w:rPr>
                <w:rFonts w:hint="default" w:ascii="Times New Roman" w:hAnsi="Times New Roman" w:cs="Times New Roman" w:eastAsiaTheme="minorEastAsia"/>
                <w:color w:val="auto"/>
                <w:kern w:val="0"/>
                <w:sz w:val="18"/>
                <w:szCs w:val="18"/>
                <w:highlight w:val="none"/>
              </w:rPr>
              <w:t>停业、歇业</w:t>
            </w:r>
            <w:r>
              <w:rPr>
                <w:rFonts w:hint="default" w:ascii="Times New Roman" w:hAnsi="Times New Roman" w:cs="Times New Roman" w:eastAsiaTheme="minorEastAsia"/>
                <w:color w:val="auto"/>
                <w:kern w:val="0"/>
                <w:sz w:val="18"/>
                <w:szCs w:val="18"/>
                <w:highlight w:val="none"/>
                <w:lang w:val="en-US" w:eastAsia="zh-CN"/>
              </w:rPr>
              <w:t>2天以下</w:t>
            </w:r>
          </w:p>
        </w:tc>
        <w:tc>
          <w:tcPr>
            <w:tcW w:w="545" w:type="pct"/>
            <w:gridSpan w:val="2"/>
            <w:shd w:val="clear" w:color="auto" w:fill="auto"/>
            <w:tcMar>
              <w:top w:w="15" w:type="dxa"/>
              <w:left w:w="15" w:type="dxa"/>
              <w:right w:w="15" w:type="dxa"/>
            </w:tcMar>
            <w:vAlign w:val="center"/>
          </w:tcPr>
          <w:p w14:paraId="1600BD4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w:t>
            </w:r>
            <w:r>
              <w:rPr>
                <w:rFonts w:hint="default" w:ascii="Times New Roman" w:hAnsi="Times New Roman" w:cs="Times New Roman" w:eastAsiaTheme="minorEastAsia"/>
                <w:color w:val="auto"/>
                <w:kern w:val="0"/>
                <w:sz w:val="18"/>
                <w:szCs w:val="18"/>
                <w:highlight w:val="none"/>
                <w:lang w:val="en-US"/>
              </w:rPr>
              <w:t>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6.5万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restart"/>
            <w:shd w:val="clear" w:color="auto" w:fill="auto"/>
            <w:tcMar>
              <w:top w:w="15" w:type="dxa"/>
              <w:left w:w="15" w:type="dxa"/>
              <w:right w:w="15" w:type="dxa"/>
            </w:tcMar>
            <w:vAlign w:val="center"/>
          </w:tcPr>
          <w:p w14:paraId="3A14FFB9">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w:t>
            </w:r>
            <w:r>
              <w:rPr>
                <w:rFonts w:hint="default" w:ascii="Times New Roman" w:hAnsi="Times New Roman" w:cs="Times New Roman" w:eastAsiaTheme="minorEastAsia"/>
                <w:color w:val="auto"/>
                <w:kern w:val="0"/>
                <w:sz w:val="18"/>
                <w:szCs w:val="18"/>
                <w:highlight w:val="none"/>
                <w:lang w:eastAsia="zh-CN"/>
              </w:rPr>
              <w:t>，造成损失的，依法承担赔偿责任</w:t>
            </w:r>
          </w:p>
          <w:p w14:paraId="61D49425">
            <w:pPr>
              <w:widowControl/>
              <w:shd w:val="clear"/>
              <w:jc w:val="left"/>
              <w:textAlignment w:val="center"/>
              <w:rPr>
                <w:rFonts w:hint="default" w:ascii="Times New Roman" w:hAnsi="Times New Roman" w:cs="Times New Roman" w:eastAsiaTheme="minorEastAsia"/>
                <w:color w:val="auto"/>
                <w:sz w:val="18"/>
                <w:szCs w:val="18"/>
                <w:highlight w:val="none"/>
              </w:rPr>
            </w:pPr>
          </w:p>
          <w:p w14:paraId="73C0C51D">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78535599">
            <w:pPr>
              <w:shd w:val="clear"/>
              <w:rPr>
                <w:rFonts w:hint="default" w:ascii="Times New Roman" w:hAnsi="Times New Roman" w:cs="Times New Roman" w:eastAsiaTheme="minorEastAsia"/>
                <w:color w:val="auto"/>
                <w:sz w:val="18"/>
                <w:szCs w:val="18"/>
                <w:highlight w:val="none"/>
                <w:lang w:val="en-US" w:eastAsia="zh-CN"/>
              </w:rPr>
            </w:pPr>
          </w:p>
        </w:tc>
      </w:tr>
      <w:tr w14:paraId="116A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117" w:type="pct"/>
            <w:gridSpan w:val="2"/>
            <w:vMerge w:val="continue"/>
            <w:shd w:val="clear" w:color="auto" w:fill="auto"/>
            <w:tcMar>
              <w:top w:w="15" w:type="dxa"/>
              <w:left w:w="15" w:type="dxa"/>
              <w:right w:w="15" w:type="dxa"/>
            </w:tcMar>
            <w:vAlign w:val="center"/>
          </w:tcPr>
          <w:p w14:paraId="1DD58416">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257E397F">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2AF04ABB">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513352A7">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5E7C68AE">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65DCD37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擅自</w:t>
            </w:r>
            <w:r>
              <w:rPr>
                <w:rFonts w:hint="default" w:ascii="Times New Roman" w:hAnsi="Times New Roman" w:cs="Times New Roman" w:eastAsiaTheme="minorEastAsia"/>
                <w:color w:val="auto"/>
                <w:kern w:val="0"/>
                <w:sz w:val="18"/>
                <w:szCs w:val="18"/>
                <w:highlight w:val="none"/>
              </w:rPr>
              <w:t>停业、歇业</w:t>
            </w:r>
            <w:r>
              <w:rPr>
                <w:rFonts w:hint="default" w:ascii="Times New Roman" w:hAnsi="Times New Roman" w:cs="Times New Roman" w:eastAsiaTheme="minorEastAsia"/>
                <w:color w:val="auto"/>
                <w:kern w:val="0"/>
                <w:sz w:val="18"/>
                <w:szCs w:val="18"/>
                <w:highlight w:val="none"/>
                <w:lang w:val="en-US" w:eastAsia="zh-CN"/>
              </w:rPr>
              <w:t>2天以上3天以下</w:t>
            </w:r>
          </w:p>
        </w:tc>
        <w:tc>
          <w:tcPr>
            <w:tcW w:w="545" w:type="pct"/>
            <w:gridSpan w:val="2"/>
            <w:shd w:val="clear" w:color="auto" w:fill="auto"/>
            <w:tcMar>
              <w:top w:w="15" w:type="dxa"/>
              <w:left w:w="15" w:type="dxa"/>
              <w:right w:w="15" w:type="dxa"/>
            </w:tcMar>
            <w:vAlign w:val="center"/>
          </w:tcPr>
          <w:p w14:paraId="508A5C6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w:t>
            </w:r>
            <w:r>
              <w:rPr>
                <w:rFonts w:hint="default" w:ascii="Times New Roman" w:hAnsi="Times New Roman" w:cs="Times New Roman" w:eastAsiaTheme="minorEastAsia"/>
                <w:color w:val="auto"/>
                <w:kern w:val="0"/>
                <w:sz w:val="18"/>
                <w:szCs w:val="18"/>
                <w:highlight w:val="none"/>
                <w:lang w:val="en-US" w:eastAsia="zh-CN"/>
              </w:rPr>
              <w:t>6.5万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8.5万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15FC8B6C">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35C3292A">
            <w:pPr>
              <w:shd w:val="clear"/>
              <w:rPr>
                <w:rFonts w:hint="default" w:ascii="Times New Roman" w:hAnsi="Times New Roman" w:cs="Times New Roman" w:eastAsiaTheme="minorEastAsia"/>
                <w:color w:val="auto"/>
                <w:sz w:val="18"/>
                <w:szCs w:val="18"/>
                <w:highlight w:val="none"/>
              </w:rPr>
            </w:pPr>
          </w:p>
        </w:tc>
      </w:tr>
      <w:tr w14:paraId="2F21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117" w:type="pct"/>
            <w:gridSpan w:val="2"/>
            <w:vMerge w:val="continue"/>
            <w:shd w:val="clear" w:color="auto" w:fill="auto"/>
            <w:tcMar>
              <w:top w:w="15" w:type="dxa"/>
              <w:left w:w="15" w:type="dxa"/>
              <w:right w:w="15" w:type="dxa"/>
            </w:tcMar>
            <w:vAlign w:val="center"/>
          </w:tcPr>
          <w:p w14:paraId="14EBDCB4">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782F2BBD">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6EA3AF8C">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7C9DBB10">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6CAB11C8">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16985476">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擅自</w:t>
            </w:r>
            <w:r>
              <w:rPr>
                <w:rFonts w:hint="default" w:ascii="Times New Roman" w:hAnsi="Times New Roman" w:cs="Times New Roman" w:eastAsiaTheme="minorEastAsia"/>
                <w:color w:val="auto"/>
                <w:kern w:val="0"/>
                <w:sz w:val="18"/>
                <w:szCs w:val="18"/>
                <w:highlight w:val="none"/>
              </w:rPr>
              <w:t>停业、歇业</w:t>
            </w:r>
            <w:r>
              <w:rPr>
                <w:rFonts w:hint="default" w:ascii="Times New Roman" w:hAnsi="Times New Roman" w:cs="Times New Roman" w:eastAsiaTheme="minorEastAsia"/>
                <w:color w:val="auto"/>
                <w:kern w:val="0"/>
                <w:sz w:val="18"/>
                <w:szCs w:val="18"/>
                <w:highlight w:val="none"/>
                <w:lang w:val="en-US" w:eastAsia="zh-CN"/>
              </w:rPr>
              <w:t>3天以上</w:t>
            </w:r>
          </w:p>
        </w:tc>
        <w:tc>
          <w:tcPr>
            <w:tcW w:w="545" w:type="pct"/>
            <w:gridSpan w:val="2"/>
            <w:shd w:val="clear" w:color="auto" w:fill="auto"/>
            <w:tcMar>
              <w:top w:w="15" w:type="dxa"/>
              <w:left w:w="15" w:type="dxa"/>
              <w:right w:w="15" w:type="dxa"/>
            </w:tcMar>
            <w:vAlign w:val="center"/>
          </w:tcPr>
          <w:p w14:paraId="4238334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可处以</w:t>
            </w:r>
            <w:r>
              <w:rPr>
                <w:rFonts w:hint="default" w:ascii="Times New Roman" w:hAnsi="Times New Roman" w:cs="Times New Roman" w:eastAsiaTheme="minorEastAsia"/>
                <w:color w:val="auto"/>
                <w:kern w:val="0"/>
                <w:sz w:val="18"/>
                <w:szCs w:val="18"/>
                <w:highlight w:val="none"/>
                <w:lang w:val="en-US" w:eastAsia="zh-CN"/>
              </w:rPr>
              <w:t>8.5万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0F30EF6D">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0249EB0D">
            <w:pPr>
              <w:shd w:val="clear"/>
              <w:rPr>
                <w:rFonts w:hint="default" w:ascii="Times New Roman" w:hAnsi="Times New Roman" w:cs="Times New Roman" w:eastAsiaTheme="minorEastAsia"/>
                <w:color w:val="auto"/>
                <w:sz w:val="18"/>
                <w:szCs w:val="18"/>
                <w:highlight w:val="none"/>
              </w:rPr>
            </w:pPr>
          </w:p>
        </w:tc>
      </w:tr>
      <w:tr w14:paraId="7040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0" w:hRule="atLeast"/>
        </w:trPr>
        <w:tc>
          <w:tcPr>
            <w:tcW w:w="117" w:type="pct"/>
            <w:gridSpan w:val="2"/>
            <w:vMerge w:val="restart"/>
            <w:shd w:val="clear" w:color="auto" w:fill="auto"/>
            <w:tcMar>
              <w:top w:w="15" w:type="dxa"/>
              <w:left w:w="15" w:type="dxa"/>
              <w:right w:w="15" w:type="dxa"/>
            </w:tcMar>
            <w:vAlign w:val="center"/>
          </w:tcPr>
          <w:p w14:paraId="57CAEF80">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31</w:t>
            </w:r>
          </w:p>
        </w:tc>
        <w:tc>
          <w:tcPr>
            <w:tcW w:w="411" w:type="pct"/>
            <w:gridSpan w:val="2"/>
            <w:vMerge w:val="restart"/>
            <w:shd w:val="clear" w:color="auto" w:fill="auto"/>
            <w:tcMar>
              <w:top w:w="15" w:type="dxa"/>
              <w:left w:w="15" w:type="dxa"/>
              <w:right w:w="15" w:type="dxa"/>
            </w:tcMar>
            <w:vAlign w:val="center"/>
          </w:tcPr>
          <w:p w14:paraId="5225596E">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生活垃圾分类投放管理责任人未履行管理责任，逾期不改正</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4C1C7ED6">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1.</w:t>
            </w:r>
            <w:r>
              <w:rPr>
                <w:rFonts w:hint="default" w:ascii="Times New Roman" w:hAnsi="Times New Roman" w:cs="Times New Roman" w:eastAsiaTheme="minorEastAsia"/>
                <w:color w:val="auto"/>
                <w:kern w:val="0"/>
                <w:sz w:val="18"/>
                <w:szCs w:val="18"/>
                <w:highlight w:val="none"/>
              </w:rPr>
              <w:t>《广东省城乡生活垃圾管理条例》第二十五条：“生活垃圾分类投放管理责任人应当履行下列管理责任：</w:t>
            </w:r>
          </w:p>
          <w:p w14:paraId="7F307F32">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（一）建立生活垃圾分类日常管理制度；</w:t>
            </w:r>
          </w:p>
          <w:p w14:paraId="0E943BCC">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（二）开展生活垃圾分类知识宣传，指导、监督、检查生活垃圾分类行为；</w:t>
            </w:r>
          </w:p>
          <w:p w14:paraId="63CC7234">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（三）根据生活垃圾产生量，按照就近便利原则和分类标准、分类标志设置生活垃圾分类收集点和收集容器，并保持生活垃圾分类收集容器正常使用和周边清洁；</w:t>
            </w:r>
          </w:p>
          <w:p w14:paraId="6EA5C645">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（四）合理确定生活垃圾的投放时间、地点，并组织责任区域内的分类收集工作；</w:t>
            </w:r>
          </w:p>
          <w:p w14:paraId="25443C84">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（五）劝阻不按照分类规定投放生活垃圾，或者混合收集、运输已分类的生活垃圾的行为；</w:t>
            </w:r>
          </w:p>
          <w:p w14:paraId="7FC9F653">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（六）将生活垃圾交由符合规定的单位收集、运输、处理。</w:t>
            </w:r>
          </w:p>
          <w:p w14:paraId="6C93C160">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生活垃圾分类投放管理责任人可以采取购买服务等方式做好前款规定相关工作，但不免除其管理责任。</w:t>
            </w:r>
          </w:p>
          <w:p w14:paraId="3B3F2BFC">
            <w:pPr>
              <w:shd w:val="clea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2.《东莞市生活垃圾分类管理规定》 第二十六条第一、二款：“生活垃圾分类投放管理责任人应当履行下列职责：</w:t>
            </w:r>
          </w:p>
          <w:p w14:paraId="17ED0E23">
            <w:pPr>
              <w:shd w:val="clea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（一）建立生活垃圾分类投放日常管理制度，记录产生的生活垃圾种类、数量和去向，明确并公布不同类别生活垃圾投放的方式、时间和地点；</w:t>
            </w:r>
          </w:p>
          <w:p w14:paraId="3D238CF2">
            <w:pPr>
              <w:shd w:val="clea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（二）按照规定设置生活垃圾分类投放点，并及时清洁维护，保持投放点和收集容器完好、整洁；</w:t>
            </w:r>
          </w:p>
          <w:p w14:paraId="7BD5A77B">
            <w:pPr>
              <w:shd w:val="clea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（三）开展生活垃圾分类知识宣传，指导、监督生活垃圾分类投放，劝阻、制止不按照分类规定投放生活垃圾，或者混合收集、运输已分类的生活垃圾的行为；</w:t>
            </w:r>
          </w:p>
          <w:p w14:paraId="09129721">
            <w:pPr>
              <w:shd w:val="clea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（四）及时将已分类生活垃圾交由符合规定的生活垃圾分类收集、运输、处理单位；</w:t>
            </w:r>
          </w:p>
          <w:p w14:paraId="6E1C1522">
            <w:pPr>
              <w:shd w:val="clea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（五）接受有关部门的监督检查。</w:t>
            </w:r>
          </w:p>
          <w:p w14:paraId="5B16835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管理责任人可以采取购买服务等方式做好前款规定相关工作，但不免除其管理责任。”</w:t>
            </w:r>
          </w:p>
        </w:tc>
        <w:tc>
          <w:tcPr>
            <w:tcW w:w="1314" w:type="pct"/>
            <w:gridSpan w:val="2"/>
            <w:vMerge w:val="restart"/>
            <w:shd w:val="clear" w:color="auto" w:fill="auto"/>
            <w:tcMar>
              <w:top w:w="15" w:type="dxa"/>
              <w:left w:w="15" w:type="dxa"/>
              <w:right w:w="15" w:type="dxa"/>
            </w:tcMar>
            <w:vAlign w:val="center"/>
          </w:tcPr>
          <w:p w14:paraId="4AA99109">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1.</w:t>
            </w:r>
            <w:r>
              <w:rPr>
                <w:rFonts w:hint="default" w:ascii="Times New Roman" w:hAnsi="Times New Roman" w:cs="Times New Roman" w:eastAsiaTheme="minorEastAsia"/>
                <w:color w:val="auto"/>
                <w:kern w:val="0"/>
                <w:sz w:val="18"/>
                <w:szCs w:val="18"/>
                <w:highlight w:val="none"/>
              </w:rPr>
              <w:t>《广东省城乡生活垃圾管理条例》第五十四条：“违反本条例第二十五条规定，生活垃圾分类投放管理责任人未履行管理责任的，由县级以上人民政府环境卫生主管部门责令限期改正；逾期不改正的，处一千元以上一万元以下的罚款。”</w:t>
            </w:r>
          </w:p>
          <w:p w14:paraId="3C8E4F2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2.《东莞市生活垃圾分类管理规定》第四十一条：“违反本规定第二十六条规定，生活垃圾分类投放管理责任人未履行工作职责的，由城市管理综合执法部门责令限期改正；逾期不改正的，处一千元以上一万元以下的罚款。”</w:t>
            </w:r>
          </w:p>
        </w:tc>
        <w:tc>
          <w:tcPr>
            <w:tcW w:w="177" w:type="pct"/>
            <w:gridSpan w:val="2"/>
            <w:shd w:val="clear" w:color="auto" w:fill="auto"/>
            <w:tcMar>
              <w:top w:w="15" w:type="dxa"/>
              <w:left w:w="15" w:type="dxa"/>
              <w:right w:w="15" w:type="dxa"/>
            </w:tcMar>
            <w:vAlign w:val="center"/>
          </w:tcPr>
          <w:p w14:paraId="4EC2A9CA">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625D1026">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未履行管理责任</w:t>
            </w:r>
            <w:r>
              <w:rPr>
                <w:rFonts w:hint="default" w:ascii="Times New Roman" w:hAnsi="Times New Roman" w:cs="Times New Roman" w:eastAsiaTheme="minorEastAsia"/>
                <w:color w:val="auto"/>
                <w:kern w:val="0"/>
                <w:sz w:val="18"/>
                <w:szCs w:val="18"/>
                <w:highlight w:val="none"/>
                <w:lang w:val="en-US" w:eastAsia="zh-CN"/>
              </w:rPr>
              <w:t>1</w:t>
            </w:r>
            <w:r>
              <w:rPr>
                <w:rFonts w:hint="default" w:ascii="Times New Roman" w:hAnsi="Times New Roman" w:cs="Times New Roman" w:eastAsiaTheme="minorEastAsia"/>
                <w:color w:val="auto"/>
                <w:kern w:val="0"/>
                <w:sz w:val="18"/>
                <w:szCs w:val="18"/>
                <w:highlight w:val="none"/>
              </w:rPr>
              <w:t>项</w:t>
            </w:r>
            <w:r>
              <w:rPr>
                <w:rFonts w:hint="default" w:ascii="Times New Roman" w:hAnsi="Times New Roman" w:cs="Times New Roman" w:eastAsiaTheme="minorEastAsia"/>
                <w:color w:val="auto"/>
                <w:kern w:val="0"/>
                <w:sz w:val="18"/>
                <w:szCs w:val="18"/>
                <w:highlight w:val="none"/>
                <w:lang w:eastAsia="zh-CN"/>
              </w:rPr>
              <w:t>；</w:t>
            </w:r>
          </w:p>
          <w:p w14:paraId="3FE5B94B">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尚未影响生活垃圾分类投放实施效果</w:t>
            </w:r>
          </w:p>
        </w:tc>
        <w:tc>
          <w:tcPr>
            <w:tcW w:w="545" w:type="pct"/>
            <w:gridSpan w:val="2"/>
            <w:shd w:val="clear" w:color="auto" w:fill="auto"/>
            <w:tcMar>
              <w:top w:w="15" w:type="dxa"/>
              <w:left w:w="15" w:type="dxa"/>
              <w:right w:w="15" w:type="dxa"/>
            </w:tcMar>
            <w:vAlign w:val="center"/>
          </w:tcPr>
          <w:p w14:paraId="439D3DF6">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处1000元以上</w:t>
            </w:r>
            <w:r>
              <w:rPr>
                <w:rFonts w:hint="default" w:ascii="Times New Roman" w:hAnsi="Times New Roman" w:cs="Times New Roman" w:eastAsiaTheme="minorEastAsia"/>
                <w:color w:val="auto"/>
                <w:kern w:val="0"/>
                <w:sz w:val="18"/>
                <w:szCs w:val="18"/>
                <w:highlight w:val="none"/>
                <w:lang w:val="en-US" w:eastAsia="zh-CN"/>
              </w:rPr>
              <w:t>3700</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restart"/>
            <w:shd w:val="clear" w:color="auto" w:fill="auto"/>
            <w:tcMar>
              <w:top w:w="15" w:type="dxa"/>
              <w:left w:w="15" w:type="dxa"/>
              <w:right w:w="15" w:type="dxa"/>
            </w:tcMar>
            <w:vAlign w:val="center"/>
          </w:tcPr>
          <w:p w14:paraId="39CF3C70">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w:t>
            </w:r>
          </w:p>
          <w:p w14:paraId="3E273B48">
            <w:pPr>
              <w:widowControl/>
              <w:shd w:val="clear"/>
              <w:jc w:val="left"/>
              <w:textAlignment w:val="center"/>
              <w:rPr>
                <w:rFonts w:hint="default" w:ascii="Times New Roman" w:hAnsi="Times New Roman" w:cs="Times New Roman" w:eastAsiaTheme="minorEastAsia"/>
                <w:color w:val="auto"/>
                <w:sz w:val="18"/>
                <w:szCs w:val="18"/>
                <w:highlight w:val="none"/>
              </w:rPr>
            </w:pPr>
          </w:p>
          <w:p w14:paraId="6F506B9B">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28F0507E">
            <w:pPr>
              <w:shd w:val="clear"/>
              <w:rPr>
                <w:rFonts w:hint="default" w:ascii="Times New Roman" w:hAnsi="Times New Roman" w:cs="Times New Roman" w:eastAsiaTheme="minorEastAsia"/>
                <w:color w:val="auto"/>
                <w:sz w:val="18"/>
                <w:szCs w:val="18"/>
                <w:highlight w:val="none"/>
                <w:lang w:val="en-US" w:eastAsia="zh-CN"/>
              </w:rPr>
            </w:pPr>
          </w:p>
        </w:tc>
      </w:tr>
      <w:tr w14:paraId="131C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5" w:hRule="atLeast"/>
        </w:trPr>
        <w:tc>
          <w:tcPr>
            <w:tcW w:w="117" w:type="pct"/>
            <w:gridSpan w:val="2"/>
            <w:vMerge w:val="continue"/>
            <w:shd w:val="clear" w:color="auto" w:fill="auto"/>
            <w:tcMar>
              <w:top w:w="15" w:type="dxa"/>
              <w:left w:w="15" w:type="dxa"/>
              <w:right w:w="15" w:type="dxa"/>
            </w:tcMar>
            <w:vAlign w:val="center"/>
          </w:tcPr>
          <w:p w14:paraId="586D773E">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10D523FB">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574FADD4">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284D7A84">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5419C94D">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16A534DF">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未履行管理责任2项</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4项</w:t>
            </w:r>
            <w:r>
              <w:rPr>
                <w:rFonts w:hint="default" w:ascii="Times New Roman" w:hAnsi="Times New Roman" w:cs="Times New Roman" w:eastAsiaTheme="minorEastAsia"/>
                <w:color w:val="auto"/>
                <w:kern w:val="0"/>
                <w:sz w:val="18"/>
                <w:szCs w:val="18"/>
                <w:highlight w:val="none"/>
                <w:lang w:eastAsia="zh-CN"/>
              </w:rPr>
              <w:t>以下；</w:t>
            </w:r>
          </w:p>
          <w:p w14:paraId="5724DC35">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已影响生活垃圾分类投放实施效果</w:t>
            </w:r>
          </w:p>
        </w:tc>
        <w:tc>
          <w:tcPr>
            <w:tcW w:w="545" w:type="pct"/>
            <w:gridSpan w:val="2"/>
            <w:shd w:val="clear" w:color="auto" w:fill="auto"/>
            <w:tcMar>
              <w:top w:w="15" w:type="dxa"/>
              <w:left w:w="15" w:type="dxa"/>
              <w:right w:w="15" w:type="dxa"/>
            </w:tcMar>
            <w:vAlign w:val="center"/>
          </w:tcPr>
          <w:p w14:paraId="4F48D37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3700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7300</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7F783E6A">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6C12733A">
            <w:pPr>
              <w:shd w:val="clear"/>
              <w:rPr>
                <w:rFonts w:hint="default" w:ascii="Times New Roman" w:hAnsi="Times New Roman" w:cs="Times New Roman" w:eastAsiaTheme="minorEastAsia"/>
                <w:color w:val="auto"/>
                <w:sz w:val="18"/>
                <w:szCs w:val="18"/>
                <w:highlight w:val="none"/>
              </w:rPr>
            </w:pPr>
          </w:p>
        </w:tc>
      </w:tr>
      <w:tr w14:paraId="4560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trPr>
        <w:tc>
          <w:tcPr>
            <w:tcW w:w="117" w:type="pct"/>
            <w:gridSpan w:val="2"/>
            <w:vMerge w:val="continue"/>
            <w:shd w:val="clear" w:color="auto" w:fill="auto"/>
            <w:tcMar>
              <w:top w:w="15" w:type="dxa"/>
              <w:left w:w="15" w:type="dxa"/>
              <w:right w:w="15" w:type="dxa"/>
            </w:tcMar>
            <w:vAlign w:val="center"/>
          </w:tcPr>
          <w:p w14:paraId="60B60CD2">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476D430A">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077F3E61">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58368D69">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50EC2C3B">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79592C76">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未履行管理责任4项</w:t>
            </w:r>
            <w:r>
              <w:rPr>
                <w:rFonts w:hint="default" w:ascii="Times New Roman" w:hAnsi="Times New Roman" w:cs="Times New Roman" w:eastAsiaTheme="minorEastAsia"/>
                <w:color w:val="auto"/>
                <w:kern w:val="0"/>
                <w:sz w:val="18"/>
                <w:szCs w:val="18"/>
                <w:highlight w:val="none"/>
                <w:lang w:eastAsia="zh-CN"/>
              </w:rPr>
              <w:t>以上；</w:t>
            </w:r>
          </w:p>
          <w:p w14:paraId="4D74C90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已造成有害垃圾随意倾倒、抛洒、堆放等危害后果</w:t>
            </w:r>
          </w:p>
        </w:tc>
        <w:tc>
          <w:tcPr>
            <w:tcW w:w="545" w:type="pct"/>
            <w:gridSpan w:val="2"/>
            <w:shd w:val="clear" w:color="auto" w:fill="auto"/>
            <w:tcMar>
              <w:top w:w="15" w:type="dxa"/>
              <w:left w:w="15" w:type="dxa"/>
              <w:right w:w="15" w:type="dxa"/>
            </w:tcMar>
            <w:vAlign w:val="center"/>
          </w:tcPr>
          <w:p w14:paraId="326FD57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7300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49B804ED">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41F32862">
            <w:pPr>
              <w:shd w:val="clear"/>
              <w:rPr>
                <w:rFonts w:hint="default" w:ascii="Times New Roman" w:hAnsi="Times New Roman" w:cs="Times New Roman" w:eastAsiaTheme="minorEastAsia"/>
                <w:color w:val="auto"/>
                <w:sz w:val="18"/>
                <w:szCs w:val="18"/>
                <w:highlight w:val="none"/>
              </w:rPr>
            </w:pPr>
          </w:p>
        </w:tc>
      </w:tr>
      <w:tr w14:paraId="4298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117" w:type="pct"/>
            <w:gridSpan w:val="2"/>
            <w:vMerge w:val="restart"/>
            <w:shd w:val="clear" w:color="auto" w:fill="auto"/>
            <w:tcMar>
              <w:top w:w="15" w:type="dxa"/>
              <w:left w:w="15" w:type="dxa"/>
              <w:right w:w="15" w:type="dxa"/>
            </w:tcMar>
            <w:vAlign w:val="center"/>
          </w:tcPr>
          <w:p w14:paraId="44E3521A">
            <w:pPr>
              <w:widowControl/>
              <w:shd w:val="clear"/>
              <w:jc w:val="center"/>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32</w:t>
            </w:r>
          </w:p>
        </w:tc>
        <w:tc>
          <w:tcPr>
            <w:tcW w:w="411" w:type="pct"/>
            <w:gridSpan w:val="2"/>
            <w:vMerge w:val="restart"/>
            <w:shd w:val="clear" w:color="auto" w:fill="auto"/>
            <w:tcMar>
              <w:top w:w="15" w:type="dxa"/>
              <w:left w:w="15" w:type="dxa"/>
              <w:right w:w="15" w:type="dxa"/>
            </w:tcMar>
            <w:vAlign w:val="center"/>
          </w:tcPr>
          <w:p w14:paraId="09E4EC77">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收集、运输生活垃圾的单位擅自混合收集、运输已分类的生活垃圾</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1AD2D7AC">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1.</w:t>
            </w:r>
            <w:r>
              <w:rPr>
                <w:rFonts w:hint="default" w:ascii="Times New Roman" w:hAnsi="Times New Roman" w:cs="Times New Roman" w:eastAsiaTheme="minorEastAsia"/>
                <w:color w:val="auto"/>
                <w:kern w:val="0"/>
                <w:sz w:val="18"/>
                <w:szCs w:val="18"/>
                <w:highlight w:val="none"/>
              </w:rPr>
              <w:t>《广东省城乡生活垃圾管理条例》第二十八条</w:t>
            </w:r>
            <w:r>
              <w:rPr>
                <w:rFonts w:hint="default" w:ascii="Times New Roman" w:hAnsi="Times New Roman" w:cs="Times New Roman" w:eastAsiaTheme="minorEastAsia"/>
                <w:color w:val="auto"/>
                <w:kern w:val="0"/>
                <w:sz w:val="18"/>
                <w:szCs w:val="18"/>
                <w:highlight w:val="none"/>
                <w:lang w:eastAsia="zh-CN"/>
              </w:rPr>
              <w:t>第一款第五项</w:t>
            </w:r>
            <w:r>
              <w:rPr>
                <w:rFonts w:hint="default" w:ascii="Times New Roman" w:hAnsi="Times New Roman" w:cs="Times New Roman" w:eastAsiaTheme="minorEastAsia"/>
                <w:color w:val="auto"/>
                <w:kern w:val="0"/>
                <w:sz w:val="18"/>
                <w:szCs w:val="18"/>
                <w:highlight w:val="none"/>
              </w:rPr>
              <w:t>：“收集、运输生活垃圾的单位应当遵守下列规定：（五）不得混合收集、运输已分类的生活垃圾，不得将危险废物、医疗废物、工业固体废物、建筑垃圾、农业固体废物等混入生活垃圾；”</w:t>
            </w:r>
          </w:p>
          <w:p w14:paraId="29174A63">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2.《东莞市生活垃圾分类管理规定》第三十一条第一款：“已经分类投放的生活垃圾应当按照规定分类收集、运输和处理，禁止将已经分类投放的生活垃圾混合收集、运输和处理。”</w:t>
            </w:r>
          </w:p>
        </w:tc>
        <w:tc>
          <w:tcPr>
            <w:tcW w:w="1314" w:type="pct"/>
            <w:gridSpan w:val="2"/>
            <w:vMerge w:val="restart"/>
            <w:shd w:val="clear" w:color="auto" w:fill="auto"/>
            <w:tcMar>
              <w:top w:w="15" w:type="dxa"/>
              <w:left w:w="15" w:type="dxa"/>
              <w:right w:w="15" w:type="dxa"/>
            </w:tcMar>
            <w:vAlign w:val="center"/>
          </w:tcPr>
          <w:p w14:paraId="1E843567">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1.</w:t>
            </w:r>
            <w:r>
              <w:rPr>
                <w:rFonts w:hint="default" w:ascii="Times New Roman" w:hAnsi="Times New Roman" w:cs="Times New Roman" w:eastAsiaTheme="minorEastAsia"/>
                <w:color w:val="auto"/>
                <w:kern w:val="0"/>
                <w:sz w:val="18"/>
                <w:szCs w:val="18"/>
                <w:highlight w:val="none"/>
              </w:rPr>
              <w:t>《广东省城乡生活垃圾管理条例》第五十五条：“违反本条例第二十八条第一款第三项、第五项规定，在运输过程中丢弃、遗撒生活垃圾或者滴漏污水，或者混合收集、运输已分类的生活垃圾的，由县级以上人民政府环境卫生主管部门责令改正，处五万元以上五十万元以下的罚款。”</w:t>
            </w:r>
          </w:p>
          <w:p w14:paraId="55B0D979">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2.《东莞市生活垃圾分类管理规定》第四十三条：“生活垃圾分类收集、运输单位违反本规定第三十一条第一款规定，混合收集、运输已分类的生活垃圾的，或者违反本规定第三十三条第四项规定，在收集、运输过程中随意丢弃、遗撒生活垃圾、滴漏污水的，由城市管理综合执法部门责令改正，处五万元以上五十万元以下的罚款。”</w:t>
            </w:r>
          </w:p>
        </w:tc>
        <w:tc>
          <w:tcPr>
            <w:tcW w:w="177" w:type="pct"/>
            <w:gridSpan w:val="2"/>
            <w:shd w:val="clear" w:color="auto" w:fill="auto"/>
            <w:tcMar>
              <w:top w:w="15" w:type="dxa"/>
              <w:left w:w="15" w:type="dxa"/>
              <w:right w:w="15" w:type="dxa"/>
            </w:tcMar>
            <w:vAlign w:val="center"/>
          </w:tcPr>
          <w:p w14:paraId="6AD14F23">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4FBE4A5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混合收集、运输已分类的生活垃圾</w:t>
            </w:r>
            <w:r>
              <w:rPr>
                <w:rFonts w:hint="default" w:ascii="Times New Roman" w:hAnsi="Times New Roman" w:cs="Times New Roman" w:eastAsiaTheme="minorEastAsia"/>
                <w:color w:val="auto"/>
                <w:kern w:val="0"/>
                <w:sz w:val="18"/>
                <w:szCs w:val="18"/>
                <w:highlight w:val="none"/>
                <w:lang w:val="en-US" w:eastAsia="zh-CN"/>
              </w:rPr>
              <w:t>5</w:t>
            </w:r>
            <w:r>
              <w:rPr>
                <w:rFonts w:hint="default" w:ascii="Times New Roman" w:hAnsi="Times New Roman" w:cs="Times New Roman" w:eastAsiaTheme="minorEastAsia"/>
                <w:color w:val="auto"/>
                <w:kern w:val="0"/>
                <w:sz w:val="18"/>
                <w:szCs w:val="18"/>
                <w:highlight w:val="none"/>
              </w:rPr>
              <w:t>立方米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75BB7A9D">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rPr>
              <w:t>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18.5万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restart"/>
            <w:shd w:val="clear" w:color="auto" w:fill="auto"/>
            <w:tcMar>
              <w:top w:w="15" w:type="dxa"/>
              <w:left w:w="15" w:type="dxa"/>
              <w:right w:w="15" w:type="dxa"/>
            </w:tcMar>
            <w:vAlign w:val="center"/>
          </w:tcPr>
          <w:p w14:paraId="3FF24717">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责令改正</w:t>
            </w:r>
          </w:p>
          <w:p w14:paraId="61FAC900">
            <w:pPr>
              <w:widowControl/>
              <w:shd w:val="clear"/>
              <w:jc w:val="center"/>
              <w:textAlignment w:val="center"/>
              <w:rPr>
                <w:rFonts w:hint="default" w:ascii="Times New Roman" w:hAnsi="Times New Roman" w:cs="Times New Roman" w:eastAsiaTheme="minorEastAsia"/>
                <w:color w:val="auto"/>
                <w:sz w:val="18"/>
                <w:szCs w:val="18"/>
                <w:highlight w:val="none"/>
              </w:rPr>
            </w:pPr>
          </w:p>
          <w:p w14:paraId="46984AE2">
            <w:pPr>
              <w:widowControl/>
              <w:shd w:val="clear"/>
              <w:jc w:val="center"/>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21DB55DA">
            <w:pPr>
              <w:shd w:val="clear"/>
              <w:jc w:val="center"/>
              <w:rPr>
                <w:rFonts w:hint="default" w:ascii="Times New Roman" w:hAnsi="Times New Roman" w:cs="Times New Roman" w:eastAsiaTheme="minorEastAsia"/>
                <w:color w:val="auto"/>
                <w:sz w:val="18"/>
                <w:szCs w:val="18"/>
                <w:highlight w:val="none"/>
                <w:lang w:val="en-US" w:eastAsia="zh-CN"/>
              </w:rPr>
            </w:pPr>
          </w:p>
        </w:tc>
      </w:tr>
      <w:tr w14:paraId="2D97D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117" w:type="pct"/>
            <w:gridSpan w:val="2"/>
            <w:vMerge w:val="continue"/>
            <w:shd w:val="clear" w:color="auto" w:fill="auto"/>
            <w:tcMar>
              <w:top w:w="15" w:type="dxa"/>
              <w:left w:w="15" w:type="dxa"/>
              <w:right w:w="15" w:type="dxa"/>
            </w:tcMar>
            <w:vAlign w:val="center"/>
          </w:tcPr>
          <w:p w14:paraId="216D7B27">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71F88196">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2BB5D657">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0275BA6A">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3B7FDA75">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1F39948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混合收集、运输已分类的生活垃圾</w:t>
            </w:r>
            <w:r>
              <w:rPr>
                <w:rFonts w:hint="default" w:ascii="Times New Roman" w:hAnsi="Times New Roman" w:cs="Times New Roman" w:eastAsiaTheme="minorEastAsia"/>
                <w:color w:val="auto"/>
                <w:kern w:val="0"/>
                <w:sz w:val="18"/>
                <w:szCs w:val="18"/>
                <w:highlight w:val="none"/>
                <w:lang w:val="en-US" w:eastAsia="zh-CN"/>
              </w:rPr>
              <w:t>5</w:t>
            </w:r>
            <w:r>
              <w:rPr>
                <w:rFonts w:hint="default" w:ascii="Times New Roman" w:hAnsi="Times New Roman" w:cs="Times New Roman" w:eastAsiaTheme="minorEastAsia"/>
                <w:color w:val="auto"/>
                <w:kern w:val="0"/>
                <w:sz w:val="18"/>
                <w:szCs w:val="18"/>
                <w:highlight w:val="none"/>
              </w:rPr>
              <w:t>立方米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lang w:val="en-US" w:eastAsia="zh-CN"/>
              </w:rPr>
              <w:t>10</w:t>
            </w:r>
            <w:r>
              <w:rPr>
                <w:rFonts w:hint="default" w:ascii="Times New Roman" w:hAnsi="Times New Roman" w:cs="Times New Roman" w:eastAsiaTheme="minorEastAsia"/>
                <w:color w:val="auto"/>
                <w:kern w:val="0"/>
                <w:sz w:val="18"/>
                <w:szCs w:val="18"/>
                <w:highlight w:val="none"/>
              </w:rPr>
              <w:t>立方米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26140A75">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18.5万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36.5万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48FB53EE">
            <w:pPr>
              <w:widowControl/>
              <w:shd w:val="clear"/>
              <w:jc w:val="center"/>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4B97F113">
            <w:pPr>
              <w:shd w:val="clear"/>
              <w:jc w:val="center"/>
              <w:rPr>
                <w:rFonts w:hint="default" w:ascii="Times New Roman" w:hAnsi="Times New Roman" w:cs="Times New Roman" w:eastAsiaTheme="minorEastAsia"/>
                <w:color w:val="auto"/>
                <w:sz w:val="18"/>
                <w:szCs w:val="18"/>
                <w:highlight w:val="none"/>
              </w:rPr>
            </w:pPr>
          </w:p>
        </w:tc>
      </w:tr>
      <w:tr w14:paraId="4A9B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117" w:type="pct"/>
            <w:gridSpan w:val="2"/>
            <w:vMerge w:val="continue"/>
            <w:shd w:val="clear" w:color="auto" w:fill="auto"/>
            <w:tcMar>
              <w:top w:w="15" w:type="dxa"/>
              <w:left w:w="15" w:type="dxa"/>
              <w:right w:w="15" w:type="dxa"/>
            </w:tcMar>
            <w:vAlign w:val="center"/>
          </w:tcPr>
          <w:p w14:paraId="3AF52DE3">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3B88273A">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2590FDA2">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01180DD0">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46FBDDAD">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5909380F">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混合收集、运输已分类的生活垃圾</w:t>
            </w:r>
            <w:r>
              <w:rPr>
                <w:rFonts w:hint="default" w:ascii="Times New Roman" w:hAnsi="Times New Roman" w:cs="Times New Roman" w:eastAsiaTheme="minorEastAsia"/>
                <w:color w:val="auto"/>
                <w:kern w:val="0"/>
                <w:sz w:val="18"/>
                <w:szCs w:val="18"/>
                <w:highlight w:val="none"/>
                <w:lang w:val="en-US" w:eastAsia="zh-CN"/>
              </w:rPr>
              <w:t>10</w:t>
            </w:r>
            <w:r>
              <w:rPr>
                <w:rFonts w:hint="default" w:ascii="Times New Roman" w:hAnsi="Times New Roman" w:cs="Times New Roman" w:eastAsiaTheme="minorEastAsia"/>
                <w:color w:val="auto"/>
                <w:kern w:val="0"/>
                <w:sz w:val="18"/>
                <w:szCs w:val="18"/>
                <w:highlight w:val="none"/>
              </w:rPr>
              <w:t>立方米</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637FCF3D">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36.5万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50万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3A811039">
            <w:pPr>
              <w:widowControl/>
              <w:shd w:val="clear"/>
              <w:jc w:val="center"/>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55061302">
            <w:pPr>
              <w:shd w:val="clear"/>
              <w:jc w:val="center"/>
              <w:rPr>
                <w:rFonts w:hint="default" w:ascii="Times New Roman" w:hAnsi="Times New Roman" w:cs="Times New Roman" w:eastAsiaTheme="minorEastAsia"/>
                <w:color w:val="auto"/>
                <w:sz w:val="18"/>
                <w:szCs w:val="18"/>
                <w:highlight w:val="none"/>
              </w:rPr>
            </w:pPr>
          </w:p>
        </w:tc>
      </w:tr>
      <w:tr w14:paraId="60782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7" w:type="pct"/>
            <w:gridSpan w:val="2"/>
            <w:vMerge w:val="restart"/>
            <w:shd w:val="clear" w:color="auto" w:fill="auto"/>
            <w:tcMar>
              <w:top w:w="15" w:type="dxa"/>
              <w:left w:w="15" w:type="dxa"/>
              <w:right w:w="15" w:type="dxa"/>
            </w:tcMar>
            <w:vAlign w:val="center"/>
          </w:tcPr>
          <w:p w14:paraId="1F8299AF">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33</w:t>
            </w:r>
          </w:p>
        </w:tc>
        <w:tc>
          <w:tcPr>
            <w:tcW w:w="411" w:type="pct"/>
            <w:gridSpan w:val="2"/>
            <w:vMerge w:val="restart"/>
            <w:shd w:val="clear" w:color="auto" w:fill="auto"/>
            <w:tcMar>
              <w:top w:w="15" w:type="dxa"/>
              <w:left w:w="15" w:type="dxa"/>
              <w:right w:w="15" w:type="dxa"/>
            </w:tcMar>
            <w:vAlign w:val="center"/>
          </w:tcPr>
          <w:p w14:paraId="0E3F51F8">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单位和个人未按规定缴纳城市生活垃圾处理费的，逾期不改正</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1E25CA4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《城市生活垃圾管理办法》第四条第一款：“产生城市生活垃圾的单位和个人，应当按照城市人民政府确定的生活垃圾处理费收费标准和有关规定缴纳城市生活垃圾处理费。”</w:t>
            </w:r>
          </w:p>
        </w:tc>
        <w:tc>
          <w:tcPr>
            <w:tcW w:w="1314" w:type="pct"/>
            <w:gridSpan w:val="2"/>
            <w:vMerge w:val="restart"/>
            <w:shd w:val="clear" w:color="auto" w:fill="auto"/>
            <w:tcMar>
              <w:top w:w="15" w:type="dxa"/>
              <w:left w:w="15" w:type="dxa"/>
              <w:right w:w="15" w:type="dxa"/>
            </w:tcMar>
            <w:vAlign w:val="center"/>
          </w:tcPr>
          <w:p w14:paraId="4AF4DD7A">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城市生活垃圾管理办法》第三十八条：“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tc>
        <w:tc>
          <w:tcPr>
            <w:tcW w:w="177" w:type="pct"/>
            <w:gridSpan w:val="2"/>
            <w:shd w:val="clear" w:color="auto" w:fill="auto"/>
            <w:tcMar>
              <w:top w:w="15" w:type="dxa"/>
              <w:left w:w="15" w:type="dxa"/>
              <w:right w:w="15" w:type="dxa"/>
            </w:tcMar>
            <w:vAlign w:val="center"/>
          </w:tcPr>
          <w:p w14:paraId="1072B3B6">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27CDDBC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逾期1个月</w:t>
            </w:r>
            <w:r>
              <w:rPr>
                <w:rFonts w:hint="default" w:ascii="Times New Roman" w:hAnsi="Times New Roman" w:cs="Times New Roman" w:eastAsiaTheme="minorEastAsia"/>
                <w:color w:val="auto"/>
                <w:kern w:val="0"/>
                <w:sz w:val="18"/>
                <w:szCs w:val="18"/>
                <w:highlight w:val="none"/>
                <w:lang w:eastAsia="zh-CN"/>
              </w:rPr>
              <w:t>以下改正</w:t>
            </w:r>
          </w:p>
        </w:tc>
        <w:tc>
          <w:tcPr>
            <w:tcW w:w="545" w:type="pct"/>
            <w:gridSpan w:val="2"/>
            <w:shd w:val="clear" w:color="auto" w:fill="auto"/>
            <w:tcMar>
              <w:top w:w="15" w:type="dxa"/>
              <w:left w:w="15" w:type="dxa"/>
              <w:right w:w="15" w:type="dxa"/>
            </w:tcMar>
            <w:vAlign w:val="center"/>
          </w:tcPr>
          <w:p w14:paraId="0EAE7F11">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对单位处应当缴纳的垃圾处理费</w:t>
            </w:r>
            <w:r>
              <w:rPr>
                <w:rFonts w:hint="default" w:ascii="Times New Roman" w:hAnsi="Times New Roman" w:cs="Times New Roman" w:eastAsiaTheme="minorEastAsia"/>
                <w:color w:val="auto"/>
                <w:kern w:val="0"/>
                <w:sz w:val="18"/>
                <w:szCs w:val="18"/>
                <w:highlight w:val="none"/>
                <w:lang w:val="en-US"/>
              </w:rPr>
              <w:t>1</w:t>
            </w:r>
            <w:r>
              <w:rPr>
                <w:rFonts w:hint="default" w:ascii="Times New Roman" w:hAnsi="Times New Roman" w:cs="Times New Roman" w:eastAsiaTheme="minorEastAsia"/>
                <w:color w:val="auto"/>
                <w:kern w:val="0"/>
                <w:sz w:val="18"/>
                <w:szCs w:val="18"/>
                <w:highlight w:val="none"/>
              </w:rPr>
              <w:t>倍以下不超过</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元的罚款；对个人处应当缴纳的生活垃圾处理费</w:t>
            </w:r>
            <w:r>
              <w:rPr>
                <w:rFonts w:hint="default" w:ascii="Times New Roman" w:hAnsi="Times New Roman" w:cs="Times New Roman" w:eastAsiaTheme="minorEastAsia"/>
                <w:color w:val="auto"/>
                <w:kern w:val="0"/>
                <w:sz w:val="18"/>
                <w:szCs w:val="18"/>
                <w:highlight w:val="none"/>
                <w:lang w:val="en-US"/>
              </w:rPr>
              <w:t>1</w:t>
            </w:r>
            <w:r>
              <w:rPr>
                <w:rFonts w:hint="default" w:ascii="Times New Roman" w:hAnsi="Times New Roman" w:cs="Times New Roman" w:eastAsiaTheme="minorEastAsia"/>
                <w:color w:val="auto"/>
                <w:kern w:val="0"/>
                <w:sz w:val="18"/>
                <w:szCs w:val="18"/>
                <w:highlight w:val="none"/>
              </w:rPr>
              <w:t>倍以下不超过1000元的罚款</w:t>
            </w:r>
          </w:p>
        </w:tc>
        <w:tc>
          <w:tcPr>
            <w:tcW w:w="200" w:type="pct"/>
            <w:gridSpan w:val="2"/>
            <w:vMerge w:val="restart"/>
            <w:shd w:val="clear" w:color="auto" w:fill="auto"/>
            <w:tcMar>
              <w:top w:w="15" w:type="dxa"/>
              <w:left w:w="15" w:type="dxa"/>
              <w:right w:w="15" w:type="dxa"/>
            </w:tcMar>
            <w:vAlign w:val="center"/>
          </w:tcPr>
          <w:p w14:paraId="1B3F4E42">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责令限期改正</w:t>
            </w:r>
          </w:p>
          <w:p w14:paraId="319E48BA">
            <w:pPr>
              <w:widowControl/>
              <w:shd w:val="clear"/>
              <w:jc w:val="center"/>
              <w:textAlignment w:val="center"/>
              <w:rPr>
                <w:rFonts w:hint="default" w:ascii="Times New Roman" w:hAnsi="Times New Roman" w:cs="Times New Roman" w:eastAsiaTheme="minorEastAsia"/>
                <w:color w:val="auto"/>
                <w:sz w:val="18"/>
                <w:szCs w:val="18"/>
                <w:highlight w:val="none"/>
              </w:rPr>
            </w:pPr>
          </w:p>
          <w:p w14:paraId="030F4643">
            <w:pPr>
              <w:widowControl/>
              <w:shd w:val="clear"/>
              <w:jc w:val="center"/>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58F36FB5">
            <w:pPr>
              <w:shd w:val="clear"/>
              <w:rPr>
                <w:rFonts w:hint="default" w:ascii="Times New Roman" w:hAnsi="Times New Roman" w:cs="Times New Roman" w:eastAsiaTheme="minorEastAsia"/>
                <w:color w:val="auto"/>
                <w:sz w:val="18"/>
                <w:szCs w:val="18"/>
                <w:highlight w:val="none"/>
                <w:lang w:val="en-US" w:eastAsia="zh-CN"/>
              </w:rPr>
            </w:pPr>
          </w:p>
        </w:tc>
      </w:tr>
      <w:tr w14:paraId="726F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trPr>
        <w:tc>
          <w:tcPr>
            <w:tcW w:w="117" w:type="pct"/>
            <w:gridSpan w:val="2"/>
            <w:vMerge w:val="continue"/>
            <w:shd w:val="clear" w:color="auto" w:fill="auto"/>
            <w:tcMar>
              <w:top w:w="15" w:type="dxa"/>
              <w:left w:w="15" w:type="dxa"/>
              <w:right w:w="15" w:type="dxa"/>
            </w:tcMar>
            <w:vAlign w:val="center"/>
          </w:tcPr>
          <w:p w14:paraId="152DF928">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6B2A9B69">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5DA71C8F">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2FCD8BE9">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1CFFB96C">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1338F7F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逾期1个月</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lang w:val="en-US" w:eastAsia="zh-CN"/>
              </w:rPr>
              <w:t>2</w:t>
            </w:r>
            <w:r>
              <w:rPr>
                <w:rFonts w:hint="default" w:ascii="Times New Roman" w:hAnsi="Times New Roman" w:cs="Times New Roman" w:eastAsiaTheme="minorEastAsia"/>
                <w:color w:val="auto"/>
                <w:kern w:val="0"/>
                <w:sz w:val="18"/>
                <w:szCs w:val="18"/>
                <w:highlight w:val="none"/>
              </w:rPr>
              <w:t>个月</w:t>
            </w:r>
            <w:r>
              <w:rPr>
                <w:rFonts w:hint="default" w:ascii="Times New Roman" w:hAnsi="Times New Roman" w:cs="Times New Roman" w:eastAsiaTheme="minorEastAsia"/>
                <w:color w:val="auto"/>
                <w:kern w:val="0"/>
                <w:sz w:val="18"/>
                <w:szCs w:val="18"/>
                <w:highlight w:val="none"/>
                <w:lang w:eastAsia="zh-CN"/>
              </w:rPr>
              <w:t>以下改正</w:t>
            </w:r>
          </w:p>
        </w:tc>
        <w:tc>
          <w:tcPr>
            <w:tcW w:w="545" w:type="pct"/>
            <w:gridSpan w:val="2"/>
            <w:shd w:val="clear" w:color="auto" w:fill="auto"/>
            <w:tcMar>
              <w:top w:w="15" w:type="dxa"/>
              <w:left w:w="15" w:type="dxa"/>
              <w:right w:w="15" w:type="dxa"/>
            </w:tcMar>
            <w:vAlign w:val="center"/>
          </w:tcPr>
          <w:p w14:paraId="2ED7DAD4">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对单位处应当缴纳的垃圾处理费</w:t>
            </w:r>
            <w:r>
              <w:rPr>
                <w:rFonts w:hint="default" w:ascii="Times New Roman" w:hAnsi="Times New Roman" w:cs="Times New Roman" w:eastAsiaTheme="minorEastAsia"/>
                <w:color w:val="auto"/>
                <w:kern w:val="0"/>
                <w:sz w:val="18"/>
                <w:szCs w:val="18"/>
                <w:highlight w:val="none"/>
                <w:lang w:val="en-US"/>
              </w:rPr>
              <w:t>1</w:t>
            </w:r>
            <w:r>
              <w:rPr>
                <w:rFonts w:hint="default" w:ascii="Times New Roman" w:hAnsi="Times New Roman" w:cs="Times New Roman" w:eastAsiaTheme="minorEastAsia"/>
                <w:color w:val="auto"/>
                <w:kern w:val="0"/>
                <w:sz w:val="18"/>
                <w:szCs w:val="18"/>
                <w:highlight w:val="none"/>
              </w:rPr>
              <w:t>倍以上</w:t>
            </w:r>
            <w:r>
              <w:rPr>
                <w:rFonts w:hint="default" w:ascii="Times New Roman" w:hAnsi="Times New Roman" w:cs="Times New Roman" w:eastAsiaTheme="minorEastAsia"/>
                <w:color w:val="auto"/>
                <w:kern w:val="0"/>
                <w:sz w:val="18"/>
                <w:szCs w:val="18"/>
                <w:highlight w:val="none"/>
                <w:lang w:val="en-US"/>
              </w:rPr>
              <w:t>2</w:t>
            </w:r>
            <w:r>
              <w:rPr>
                <w:rFonts w:hint="default" w:ascii="Times New Roman" w:hAnsi="Times New Roman" w:cs="Times New Roman" w:eastAsiaTheme="minorEastAsia"/>
                <w:color w:val="auto"/>
                <w:kern w:val="0"/>
                <w:sz w:val="18"/>
                <w:szCs w:val="18"/>
                <w:highlight w:val="none"/>
              </w:rPr>
              <w:t>倍以下,不超过</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元的罚款；对个人处应当缴纳的生活垃圾处理费</w:t>
            </w:r>
            <w:r>
              <w:rPr>
                <w:rFonts w:hint="default" w:ascii="Times New Roman" w:hAnsi="Times New Roman" w:cs="Times New Roman" w:eastAsiaTheme="minorEastAsia"/>
                <w:color w:val="auto"/>
                <w:kern w:val="0"/>
                <w:sz w:val="18"/>
                <w:szCs w:val="18"/>
                <w:highlight w:val="none"/>
                <w:lang w:val="en-US"/>
              </w:rPr>
              <w:t>1</w:t>
            </w:r>
            <w:r>
              <w:rPr>
                <w:rFonts w:hint="default" w:ascii="Times New Roman" w:hAnsi="Times New Roman" w:cs="Times New Roman" w:eastAsiaTheme="minorEastAsia"/>
                <w:color w:val="auto"/>
                <w:kern w:val="0"/>
                <w:sz w:val="18"/>
                <w:szCs w:val="18"/>
                <w:highlight w:val="none"/>
              </w:rPr>
              <w:t>倍以上</w:t>
            </w:r>
            <w:r>
              <w:rPr>
                <w:rFonts w:hint="default" w:ascii="Times New Roman" w:hAnsi="Times New Roman" w:cs="Times New Roman" w:eastAsiaTheme="minorEastAsia"/>
                <w:color w:val="auto"/>
                <w:kern w:val="0"/>
                <w:sz w:val="18"/>
                <w:szCs w:val="18"/>
                <w:highlight w:val="none"/>
                <w:lang w:val="en-US"/>
              </w:rPr>
              <w:t>2</w:t>
            </w:r>
            <w:r>
              <w:rPr>
                <w:rFonts w:hint="default" w:ascii="Times New Roman" w:hAnsi="Times New Roman" w:cs="Times New Roman" w:eastAsiaTheme="minorEastAsia"/>
                <w:color w:val="auto"/>
                <w:kern w:val="0"/>
                <w:sz w:val="18"/>
                <w:szCs w:val="18"/>
                <w:highlight w:val="none"/>
              </w:rPr>
              <w:t>倍以下不超过1000元的罚款</w:t>
            </w:r>
          </w:p>
        </w:tc>
        <w:tc>
          <w:tcPr>
            <w:tcW w:w="200" w:type="pct"/>
            <w:gridSpan w:val="2"/>
            <w:vMerge w:val="continue"/>
            <w:shd w:val="clear" w:color="auto" w:fill="auto"/>
            <w:tcMar>
              <w:top w:w="15" w:type="dxa"/>
              <w:left w:w="15" w:type="dxa"/>
              <w:right w:w="15" w:type="dxa"/>
            </w:tcMar>
            <w:vAlign w:val="center"/>
          </w:tcPr>
          <w:p w14:paraId="226AAF8E">
            <w:pPr>
              <w:widowControl/>
              <w:shd w:val="clear"/>
              <w:jc w:val="center"/>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29D95A70">
            <w:pPr>
              <w:shd w:val="clear"/>
              <w:rPr>
                <w:rFonts w:hint="default" w:ascii="Times New Roman" w:hAnsi="Times New Roman" w:cs="Times New Roman" w:eastAsiaTheme="minorEastAsia"/>
                <w:color w:val="auto"/>
                <w:sz w:val="18"/>
                <w:szCs w:val="18"/>
                <w:highlight w:val="none"/>
              </w:rPr>
            </w:pPr>
          </w:p>
        </w:tc>
      </w:tr>
      <w:tr w14:paraId="09EB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trPr>
        <w:tc>
          <w:tcPr>
            <w:tcW w:w="117" w:type="pct"/>
            <w:gridSpan w:val="2"/>
            <w:vMerge w:val="continue"/>
            <w:shd w:val="clear" w:color="auto" w:fill="auto"/>
            <w:tcMar>
              <w:top w:w="15" w:type="dxa"/>
              <w:left w:w="15" w:type="dxa"/>
              <w:right w:w="15" w:type="dxa"/>
            </w:tcMar>
            <w:vAlign w:val="center"/>
          </w:tcPr>
          <w:p w14:paraId="2D4C7B1A">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77112A68">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8F5F6A5">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6805009D">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4183F78F">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7BB43084">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逾期</w:t>
            </w:r>
            <w:r>
              <w:rPr>
                <w:rFonts w:hint="default" w:ascii="Times New Roman" w:hAnsi="Times New Roman" w:cs="Times New Roman" w:eastAsiaTheme="minorEastAsia"/>
                <w:color w:val="auto"/>
                <w:kern w:val="0"/>
                <w:sz w:val="18"/>
                <w:szCs w:val="18"/>
                <w:highlight w:val="none"/>
                <w:lang w:val="en-US" w:eastAsia="zh-CN"/>
              </w:rPr>
              <w:t>2</w:t>
            </w:r>
            <w:r>
              <w:rPr>
                <w:rFonts w:hint="default" w:ascii="Times New Roman" w:hAnsi="Times New Roman" w:cs="Times New Roman" w:eastAsiaTheme="minorEastAsia"/>
                <w:color w:val="auto"/>
                <w:kern w:val="0"/>
                <w:sz w:val="18"/>
                <w:szCs w:val="18"/>
                <w:highlight w:val="none"/>
              </w:rPr>
              <w:t>个月</w:t>
            </w:r>
            <w:r>
              <w:rPr>
                <w:rFonts w:hint="default" w:ascii="Times New Roman" w:hAnsi="Times New Roman" w:cs="Times New Roman" w:eastAsiaTheme="minorEastAsia"/>
                <w:color w:val="auto"/>
                <w:kern w:val="0"/>
                <w:sz w:val="18"/>
                <w:szCs w:val="18"/>
                <w:highlight w:val="none"/>
                <w:lang w:eastAsia="zh-CN"/>
              </w:rPr>
              <w:t>以上改正</w:t>
            </w:r>
          </w:p>
        </w:tc>
        <w:tc>
          <w:tcPr>
            <w:tcW w:w="545" w:type="pct"/>
            <w:gridSpan w:val="2"/>
            <w:shd w:val="clear" w:color="auto" w:fill="auto"/>
            <w:tcMar>
              <w:top w:w="15" w:type="dxa"/>
              <w:left w:w="15" w:type="dxa"/>
              <w:right w:w="15" w:type="dxa"/>
            </w:tcMar>
            <w:vAlign w:val="center"/>
          </w:tcPr>
          <w:p w14:paraId="78A06AF2">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对单位处应当缴纳的垃圾处理费</w:t>
            </w:r>
            <w:r>
              <w:rPr>
                <w:rFonts w:hint="default" w:ascii="Times New Roman" w:hAnsi="Times New Roman" w:cs="Times New Roman" w:eastAsiaTheme="minorEastAsia"/>
                <w:color w:val="auto"/>
                <w:kern w:val="0"/>
                <w:sz w:val="18"/>
                <w:szCs w:val="18"/>
                <w:highlight w:val="none"/>
                <w:lang w:val="en-US"/>
              </w:rPr>
              <w:t>2</w:t>
            </w:r>
            <w:r>
              <w:rPr>
                <w:rFonts w:hint="default" w:ascii="Times New Roman" w:hAnsi="Times New Roman" w:cs="Times New Roman" w:eastAsiaTheme="minorEastAsia"/>
                <w:color w:val="auto"/>
                <w:kern w:val="0"/>
                <w:sz w:val="18"/>
                <w:szCs w:val="18"/>
                <w:highlight w:val="none"/>
              </w:rPr>
              <w:t>倍以上3倍以下,不超过</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元的罚款；对个人处应当缴纳的生活垃圾处理费</w:t>
            </w:r>
            <w:r>
              <w:rPr>
                <w:rFonts w:hint="default" w:ascii="Times New Roman" w:hAnsi="Times New Roman" w:cs="Times New Roman" w:eastAsiaTheme="minorEastAsia"/>
                <w:color w:val="auto"/>
                <w:kern w:val="0"/>
                <w:sz w:val="18"/>
                <w:szCs w:val="18"/>
                <w:highlight w:val="none"/>
                <w:lang w:val="en-US"/>
              </w:rPr>
              <w:t>2</w:t>
            </w:r>
            <w:r>
              <w:rPr>
                <w:rFonts w:hint="default" w:ascii="Times New Roman" w:hAnsi="Times New Roman" w:cs="Times New Roman" w:eastAsiaTheme="minorEastAsia"/>
                <w:color w:val="auto"/>
                <w:kern w:val="0"/>
                <w:sz w:val="18"/>
                <w:szCs w:val="18"/>
                <w:highlight w:val="none"/>
              </w:rPr>
              <w:t>倍以上3倍以下不超过1000元的罚款</w:t>
            </w:r>
          </w:p>
        </w:tc>
        <w:tc>
          <w:tcPr>
            <w:tcW w:w="200" w:type="pct"/>
            <w:gridSpan w:val="2"/>
            <w:vMerge w:val="continue"/>
            <w:shd w:val="clear" w:color="auto" w:fill="auto"/>
            <w:tcMar>
              <w:top w:w="15" w:type="dxa"/>
              <w:left w:w="15" w:type="dxa"/>
              <w:right w:w="15" w:type="dxa"/>
            </w:tcMar>
            <w:vAlign w:val="center"/>
          </w:tcPr>
          <w:p w14:paraId="35F81E50">
            <w:pPr>
              <w:widowControl/>
              <w:shd w:val="clear"/>
              <w:jc w:val="center"/>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7DA67FA8">
            <w:pPr>
              <w:shd w:val="clear"/>
              <w:rPr>
                <w:rFonts w:hint="default" w:ascii="Times New Roman" w:hAnsi="Times New Roman" w:cs="Times New Roman" w:eastAsiaTheme="minorEastAsia"/>
                <w:color w:val="auto"/>
                <w:sz w:val="18"/>
                <w:szCs w:val="18"/>
                <w:highlight w:val="none"/>
              </w:rPr>
            </w:pPr>
          </w:p>
        </w:tc>
      </w:tr>
      <w:tr w14:paraId="4CB8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0" w:hRule="atLeast"/>
        </w:trPr>
        <w:tc>
          <w:tcPr>
            <w:tcW w:w="117" w:type="pct"/>
            <w:gridSpan w:val="2"/>
            <w:vMerge w:val="restart"/>
            <w:shd w:val="clear" w:color="auto" w:fill="auto"/>
            <w:tcMar>
              <w:top w:w="15" w:type="dxa"/>
              <w:left w:w="15" w:type="dxa"/>
              <w:right w:w="15" w:type="dxa"/>
            </w:tcMar>
            <w:vAlign w:val="center"/>
          </w:tcPr>
          <w:p w14:paraId="094180DB">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34</w:t>
            </w:r>
          </w:p>
        </w:tc>
        <w:tc>
          <w:tcPr>
            <w:tcW w:w="411" w:type="pct"/>
            <w:gridSpan w:val="2"/>
            <w:vMerge w:val="restart"/>
            <w:shd w:val="clear" w:color="auto" w:fill="auto"/>
            <w:tcMar>
              <w:top w:w="15" w:type="dxa"/>
              <w:left w:w="15" w:type="dxa"/>
              <w:right w:w="15" w:type="dxa"/>
            </w:tcMar>
            <w:vAlign w:val="center"/>
          </w:tcPr>
          <w:p w14:paraId="27845BFC">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未按规定投放废弃沙发、衣柜、床等体积较大的废弃物品，情节严重</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7D759DA0">
            <w:pPr>
              <w:shd w:val="clear"/>
              <w:rPr>
                <w:rFonts w:hint="default" w:ascii="Times New Roman" w:hAnsi="Times New Roman" w:cs="Times New Roman"/>
                <w:color w:val="auto"/>
                <w:highlight w:val="none"/>
              </w:rPr>
            </w:pPr>
          </w:p>
          <w:p w14:paraId="3738E13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《广东省城乡生活垃圾管理条例》第二十三条</w:t>
            </w:r>
            <w:r>
              <w:rPr>
                <w:rFonts w:hint="default" w:ascii="Times New Roman" w:hAnsi="Times New Roman" w:cs="Times New Roman" w:eastAsiaTheme="minorEastAsia"/>
                <w:color w:val="auto"/>
                <w:kern w:val="0"/>
                <w:sz w:val="18"/>
                <w:szCs w:val="18"/>
                <w:highlight w:val="none"/>
                <w:lang w:eastAsia="zh-CN"/>
              </w:rPr>
              <w:t>第一款</w:t>
            </w:r>
            <w:r>
              <w:rPr>
                <w:rFonts w:hint="default" w:ascii="Times New Roman" w:hAnsi="Times New Roman" w:cs="Times New Roman" w:eastAsiaTheme="minorEastAsia"/>
                <w:color w:val="auto"/>
                <w:kern w:val="0"/>
                <w:sz w:val="18"/>
                <w:szCs w:val="18"/>
                <w:highlight w:val="none"/>
              </w:rPr>
              <w:t>：“产生废弃沙发、衣柜、床等体积较大的废弃物品的单位、家庭和个人应当预约环境卫生作业单位、再生资源回收站处理或者自行投放到专门收集点。”</w:t>
            </w:r>
          </w:p>
        </w:tc>
        <w:tc>
          <w:tcPr>
            <w:tcW w:w="1314" w:type="pct"/>
            <w:gridSpan w:val="2"/>
            <w:vMerge w:val="restart"/>
            <w:shd w:val="clear" w:color="auto" w:fill="auto"/>
            <w:tcMar>
              <w:top w:w="15" w:type="dxa"/>
              <w:left w:w="15" w:type="dxa"/>
              <w:right w:w="15" w:type="dxa"/>
            </w:tcMar>
            <w:vAlign w:val="center"/>
          </w:tcPr>
          <w:p w14:paraId="30659BCC">
            <w:pPr>
              <w:widowControl/>
              <w:shd w:val="clear"/>
              <w:jc w:val="left"/>
              <w:textAlignment w:val="center"/>
              <w:rPr>
                <w:rFonts w:hint="default" w:ascii="Times New Roman" w:hAnsi="Times New Roman" w:cs="Times New Roman"/>
                <w:color w:val="auto"/>
                <w:highlight w:val="none"/>
              </w:rPr>
            </w:pPr>
          </w:p>
          <w:p w14:paraId="171B477D">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广东省城乡生活垃圾管理条例》第五十三条：“违反本条例第二十条第一款、第二十三条第一款规定，未按照分类规定投放生活垃圾，或者未按规定投放体积较大的废弃物品的，由县级以上人民政府环境卫生主管部门责令改正；情节严重的，对单位处五万元以上五十万元以下的罚款，对个人处一百元以上五百元以下的罚款。”</w:t>
            </w:r>
          </w:p>
        </w:tc>
        <w:tc>
          <w:tcPr>
            <w:tcW w:w="177" w:type="pct"/>
            <w:gridSpan w:val="2"/>
            <w:shd w:val="clear" w:color="auto" w:fill="auto"/>
            <w:tcMar>
              <w:top w:w="15" w:type="dxa"/>
              <w:left w:w="15" w:type="dxa"/>
              <w:right w:w="15" w:type="dxa"/>
            </w:tcMar>
            <w:vAlign w:val="center"/>
          </w:tcPr>
          <w:p w14:paraId="31612DAE">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4679BA90">
            <w:pPr>
              <w:widowControl/>
              <w:shd w:val="clea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未按规定投放体积较大的废弃物品</w:t>
            </w:r>
            <w:r>
              <w:rPr>
                <w:rFonts w:hint="default" w:ascii="Times New Roman" w:hAnsi="Times New Roman" w:cs="Times New Roman" w:eastAsiaTheme="minorEastAsia"/>
                <w:color w:val="auto"/>
                <w:kern w:val="0"/>
                <w:sz w:val="18"/>
                <w:szCs w:val="18"/>
                <w:highlight w:val="none"/>
                <w:lang w:val="en-US" w:eastAsia="zh-CN"/>
              </w:rPr>
              <w:t>2件;</w:t>
            </w:r>
          </w:p>
          <w:p w14:paraId="58396D6E">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未按规定投放体积较大的废弃物品3立方米以上5</w:t>
            </w:r>
            <w:r>
              <w:rPr>
                <w:rFonts w:hint="default" w:ascii="Times New Roman" w:hAnsi="Times New Roman" w:cs="Times New Roman" w:eastAsiaTheme="minorEastAsia"/>
                <w:color w:val="auto"/>
                <w:kern w:val="0"/>
                <w:sz w:val="18"/>
                <w:szCs w:val="18"/>
                <w:highlight w:val="none"/>
              </w:rPr>
              <w:t>立方米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30972F74">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对单位处</w:t>
            </w:r>
            <w:r>
              <w:rPr>
                <w:rFonts w:hint="default" w:ascii="Times New Roman" w:hAnsi="Times New Roman" w:cs="Times New Roman" w:eastAsiaTheme="minorEastAsia"/>
                <w:color w:val="auto"/>
                <w:kern w:val="0"/>
                <w:sz w:val="18"/>
                <w:szCs w:val="18"/>
                <w:highlight w:val="none"/>
                <w:lang w:val="en-US"/>
              </w:rPr>
              <w:t>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18.5</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元以下的罚款，对个人处100元以上</w:t>
            </w:r>
            <w:r>
              <w:rPr>
                <w:rFonts w:hint="default" w:ascii="Times New Roman" w:hAnsi="Times New Roman" w:cs="Times New Roman" w:eastAsiaTheme="minorEastAsia"/>
                <w:color w:val="auto"/>
                <w:kern w:val="0"/>
                <w:sz w:val="18"/>
                <w:szCs w:val="18"/>
                <w:highlight w:val="none"/>
                <w:lang w:val="en-US" w:eastAsia="zh-CN"/>
              </w:rPr>
              <w:t>220</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restart"/>
            <w:shd w:val="clear" w:color="auto" w:fill="auto"/>
            <w:tcMar>
              <w:top w:w="15" w:type="dxa"/>
              <w:left w:w="15" w:type="dxa"/>
              <w:right w:w="15" w:type="dxa"/>
            </w:tcMar>
            <w:vAlign w:val="center"/>
          </w:tcPr>
          <w:p w14:paraId="31D586EF">
            <w:pPr>
              <w:shd w:val="clear"/>
              <w:jc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责令改正</w:t>
            </w:r>
          </w:p>
          <w:p w14:paraId="4A909367">
            <w:pPr>
              <w:shd w:val="clear"/>
              <w:jc w:val="center"/>
              <w:rPr>
                <w:rFonts w:hint="default" w:ascii="Times New Roman" w:hAnsi="Times New Roman" w:cs="Times New Roman" w:eastAsiaTheme="minorEastAsia"/>
                <w:color w:val="auto"/>
                <w:sz w:val="18"/>
                <w:szCs w:val="18"/>
                <w:highlight w:val="none"/>
              </w:rPr>
            </w:pPr>
          </w:p>
          <w:p w14:paraId="7618389B">
            <w:pPr>
              <w:shd w:val="clear"/>
              <w:jc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3960566E">
            <w:pPr>
              <w:shd w:val="clear"/>
              <w:jc w:val="center"/>
              <w:rPr>
                <w:rFonts w:hint="default" w:ascii="Times New Roman" w:hAnsi="Times New Roman" w:cs="Times New Roman" w:eastAsiaTheme="minorEastAsia"/>
                <w:color w:val="auto"/>
                <w:sz w:val="18"/>
                <w:szCs w:val="18"/>
                <w:highlight w:val="none"/>
                <w:lang w:val="en-US" w:eastAsia="zh-CN"/>
              </w:rPr>
            </w:pPr>
          </w:p>
        </w:tc>
      </w:tr>
      <w:tr w14:paraId="14E7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5" w:hRule="atLeast"/>
        </w:trPr>
        <w:tc>
          <w:tcPr>
            <w:tcW w:w="117" w:type="pct"/>
            <w:gridSpan w:val="2"/>
            <w:vMerge w:val="continue"/>
            <w:shd w:val="clear" w:color="auto" w:fill="auto"/>
            <w:tcMar>
              <w:top w:w="15" w:type="dxa"/>
              <w:left w:w="15" w:type="dxa"/>
              <w:right w:w="15" w:type="dxa"/>
            </w:tcMar>
            <w:vAlign w:val="center"/>
          </w:tcPr>
          <w:p w14:paraId="0CB5DD4C">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5B30C6F0">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2DAF32F8">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3567ED5F">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6EA47FB9">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4E8257A6">
            <w:pPr>
              <w:widowControl/>
              <w:shd w:val="clea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未按规定投放体积较大的废弃物品</w:t>
            </w:r>
            <w:r>
              <w:rPr>
                <w:rFonts w:hint="default" w:ascii="Times New Roman" w:hAnsi="Times New Roman" w:cs="Times New Roman" w:eastAsiaTheme="minorEastAsia"/>
                <w:color w:val="auto"/>
                <w:kern w:val="0"/>
                <w:sz w:val="18"/>
                <w:szCs w:val="18"/>
                <w:highlight w:val="none"/>
                <w:lang w:val="en-US" w:eastAsia="zh-CN"/>
              </w:rPr>
              <w:t>3件；</w:t>
            </w:r>
          </w:p>
          <w:p w14:paraId="6DD494E3">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未按规定投放体积较大的废弃物品5</w:t>
            </w:r>
            <w:r>
              <w:rPr>
                <w:rFonts w:hint="default" w:ascii="Times New Roman" w:hAnsi="Times New Roman" w:cs="Times New Roman" w:eastAsiaTheme="minorEastAsia"/>
                <w:color w:val="auto"/>
                <w:kern w:val="0"/>
                <w:sz w:val="18"/>
                <w:szCs w:val="18"/>
                <w:highlight w:val="none"/>
              </w:rPr>
              <w:t>立方米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lang w:val="en-US" w:eastAsia="zh-CN"/>
              </w:rPr>
              <w:t>10</w:t>
            </w:r>
            <w:r>
              <w:rPr>
                <w:rFonts w:hint="default" w:ascii="Times New Roman" w:hAnsi="Times New Roman" w:cs="Times New Roman" w:eastAsiaTheme="minorEastAsia"/>
                <w:color w:val="auto"/>
                <w:kern w:val="0"/>
                <w:sz w:val="18"/>
                <w:szCs w:val="18"/>
                <w:highlight w:val="none"/>
              </w:rPr>
              <w:t>立方米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25E6358F">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对单位处</w:t>
            </w:r>
            <w:r>
              <w:rPr>
                <w:rFonts w:hint="default" w:ascii="Times New Roman" w:hAnsi="Times New Roman" w:cs="Times New Roman" w:eastAsiaTheme="minorEastAsia"/>
                <w:color w:val="auto"/>
                <w:kern w:val="0"/>
                <w:sz w:val="18"/>
                <w:szCs w:val="18"/>
                <w:highlight w:val="none"/>
                <w:lang w:val="en-US" w:eastAsia="zh-CN"/>
              </w:rPr>
              <w:t>18.5</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36.5</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元以下的罚款，对个人处</w:t>
            </w:r>
            <w:r>
              <w:rPr>
                <w:rFonts w:hint="default" w:ascii="Times New Roman" w:hAnsi="Times New Roman" w:cs="Times New Roman" w:eastAsiaTheme="minorEastAsia"/>
                <w:color w:val="auto"/>
                <w:kern w:val="0"/>
                <w:sz w:val="18"/>
                <w:szCs w:val="18"/>
                <w:highlight w:val="none"/>
                <w:lang w:val="en-US" w:eastAsia="zh-CN"/>
              </w:rPr>
              <w:t>220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380</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67F33E3D">
            <w:pPr>
              <w:shd w:val="clear"/>
              <w:jc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58B652B0">
            <w:pPr>
              <w:shd w:val="clear"/>
              <w:jc w:val="center"/>
              <w:rPr>
                <w:rFonts w:hint="default" w:ascii="Times New Roman" w:hAnsi="Times New Roman" w:cs="Times New Roman" w:eastAsiaTheme="minorEastAsia"/>
                <w:color w:val="auto"/>
                <w:sz w:val="18"/>
                <w:szCs w:val="18"/>
                <w:highlight w:val="none"/>
              </w:rPr>
            </w:pPr>
          </w:p>
        </w:tc>
      </w:tr>
      <w:tr w14:paraId="517D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trPr>
        <w:tc>
          <w:tcPr>
            <w:tcW w:w="117" w:type="pct"/>
            <w:gridSpan w:val="2"/>
            <w:vMerge w:val="continue"/>
            <w:shd w:val="clear" w:color="auto" w:fill="auto"/>
            <w:tcMar>
              <w:top w:w="15" w:type="dxa"/>
              <w:left w:w="15" w:type="dxa"/>
              <w:right w:w="15" w:type="dxa"/>
            </w:tcMar>
            <w:vAlign w:val="center"/>
          </w:tcPr>
          <w:p w14:paraId="05610D33">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40447AB7">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A7109AF">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4B4334D6">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080020C8">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09B7C5A2">
            <w:pPr>
              <w:widowControl/>
              <w:shd w:val="clea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未按规定投放体积较大的废弃物品</w:t>
            </w:r>
            <w:r>
              <w:rPr>
                <w:rFonts w:hint="default" w:ascii="Times New Roman" w:hAnsi="Times New Roman" w:cs="Times New Roman" w:eastAsiaTheme="minorEastAsia"/>
                <w:color w:val="auto"/>
                <w:kern w:val="0"/>
                <w:sz w:val="18"/>
                <w:szCs w:val="18"/>
                <w:highlight w:val="none"/>
                <w:lang w:val="en-US" w:eastAsia="zh-CN"/>
              </w:rPr>
              <w:t>4件以上；</w:t>
            </w:r>
          </w:p>
          <w:p w14:paraId="6675D824">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未按规定投放体积较大的废弃物品10</w:t>
            </w:r>
            <w:r>
              <w:rPr>
                <w:rFonts w:hint="default" w:ascii="Times New Roman" w:hAnsi="Times New Roman" w:cs="Times New Roman" w:eastAsiaTheme="minorEastAsia"/>
                <w:color w:val="auto"/>
                <w:kern w:val="0"/>
                <w:sz w:val="18"/>
                <w:szCs w:val="18"/>
                <w:highlight w:val="none"/>
              </w:rPr>
              <w:t>立方米</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162F591D">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对单位处</w:t>
            </w:r>
            <w:r>
              <w:rPr>
                <w:rFonts w:hint="default" w:ascii="Times New Roman" w:hAnsi="Times New Roman" w:cs="Times New Roman" w:eastAsiaTheme="minorEastAsia"/>
                <w:color w:val="auto"/>
                <w:kern w:val="0"/>
                <w:sz w:val="18"/>
                <w:szCs w:val="18"/>
                <w:highlight w:val="none"/>
                <w:lang w:val="en-US" w:eastAsia="zh-CN"/>
              </w:rPr>
              <w:t>36.5</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50万</w:t>
            </w:r>
            <w:r>
              <w:rPr>
                <w:rFonts w:hint="default" w:ascii="Times New Roman" w:hAnsi="Times New Roman" w:cs="Times New Roman" w:eastAsiaTheme="minorEastAsia"/>
                <w:color w:val="auto"/>
                <w:kern w:val="0"/>
                <w:sz w:val="18"/>
                <w:szCs w:val="18"/>
                <w:highlight w:val="none"/>
              </w:rPr>
              <w:t>元以下的罚款，对个人处</w:t>
            </w:r>
            <w:r>
              <w:rPr>
                <w:rFonts w:hint="default" w:ascii="Times New Roman" w:hAnsi="Times New Roman" w:cs="Times New Roman" w:eastAsiaTheme="minorEastAsia"/>
                <w:color w:val="auto"/>
                <w:kern w:val="0"/>
                <w:sz w:val="18"/>
                <w:szCs w:val="18"/>
                <w:highlight w:val="none"/>
                <w:lang w:val="en-US" w:eastAsia="zh-CN"/>
              </w:rPr>
              <w:t>380</w:t>
            </w:r>
            <w:r>
              <w:rPr>
                <w:rFonts w:hint="default" w:ascii="Times New Roman" w:hAnsi="Times New Roman" w:cs="Times New Roman" w:eastAsiaTheme="minorEastAsia"/>
                <w:color w:val="auto"/>
                <w:kern w:val="0"/>
                <w:sz w:val="18"/>
                <w:szCs w:val="18"/>
                <w:highlight w:val="none"/>
              </w:rPr>
              <w:t>元以上500元以下的罚款</w:t>
            </w:r>
          </w:p>
        </w:tc>
        <w:tc>
          <w:tcPr>
            <w:tcW w:w="200" w:type="pct"/>
            <w:gridSpan w:val="2"/>
            <w:vMerge w:val="continue"/>
            <w:shd w:val="clear" w:color="auto" w:fill="auto"/>
            <w:tcMar>
              <w:top w:w="15" w:type="dxa"/>
              <w:left w:w="15" w:type="dxa"/>
              <w:right w:w="15" w:type="dxa"/>
            </w:tcMar>
            <w:vAlign w:val="center"/>
          </w:tcPr>
          <w:p w14:paraId="71B8757C">
            <w:pPr>
              <w:shd w:val="clear"/>
              <w:jc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5F891A4B">
            <w:pPr>
              <w:shd w:val="clear"/>
              <w:jc w:val="center"/>
              <w:rPr>
                <w:rFonts w:hint="default" w:ascii="Times New Roman" w:hAnsi="Times New Roman" w:cs="Times New Roman" w:eastAsiaTheme="minorEastAsia"/>
                <w:color w:val="auto"/>
                <w:sz w:val="18"/>
                <w:szCs w:val="18"/>
                <w:highlight w:val="none"/>
              </w:rPr>
            </w:pPr>
          </w:p>
        </w:tc>
      </w:tr>
      <w:tr w14:paraId="5FF7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trPr>
        <w:tc>
          <w:tcPr>
            <w:tcW w:w="117" w:type="pct"/>
            <w:gridSpan w:val="2"/>
            <w:vMerge w:val="restart"/>
            <w:shd w:val="clear" w:color="auto" w:fill="auto"/>
            <w:tcMar>
              <w:top w:w="15" w:type="dxa"/>
              <w:left w:w="15" w:type="dxa"/>
              <w:right w:w="15" w:type="dxa"/>
            </w:tcMar>
            <w:vAlign w:val="center"/>
          </w:tcPr>
          <w:p w14:paraId="52F8131C">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35</w:t>
            </w:r>
          </w:p>
        </w:tc>
        <w:tc>
          <w:tcPr>
            <w:tcW w:w="411" w:type="pct"/>
            <w:gridSpan w:val="2"/>
            <w:vMerge w:val="restart"/>
            <w:shd w:val="clear" w:color="auto" w:fill="auto"/>
            <w:tcMar>
              <w:top w:w="15" w:type="dxa"/>
              <w:left w:w="15" w:type="dxa"/>
              <w:right w:w="15" w:type="dxa"/>
            </w:tcMar>
            <w:vAlign w:val="center"/>
          </w:tcPr>
          <w:p w14:paraId="008A9F12">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运输垃圾、渣土、土方散装物料的车辆，未采取密闭或者其他措施防止物料遗撒</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06BFF676">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《中华人民共和国大气污染防治法》第七十条第一款：“运输煤炭、垃圾、渣土、砂石、土方、灰浆等散装、流体物料的车辆应当采取密闭或者其他措施防止物料遗撒造成扬尘污染，并按照规定路线行驶。”</w:t>
            </w:r>
          </w:p>
        </w:tc>
        <w:tc>
          <w:tcPr>
            <w:tcW w:w="1314" w:type="pct"/>
            <w:gridSpan w:val="2"/>
            <w:vMerge w:val="restart"/>
            <w:shd w:val="clear" w:color="auto" w:fill="auto"/>
            <w:tcMar>
              <w:top w:w="15" w:type="dxa"/>
              <w:left w:w="15" w:type="dxa"/>
              <w:right w:w="15" w:type="dxa"/>
            </w:tcMar>
            <w:vAlign w:val="center"/>
          </w:tcPr>
          <w:p w14:paraId="110F6F0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中华人民共和国大气污染防治法》第一百一十六条：“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tc>
        <w:tc>
          <w:tcPr>
            <w:tcW w:w="177" w:type="pct"/>
            <w:gridSpan w:val="2"/>
            <w:shd w:val="clear" w:color="auto" w:fill="auto"/>
            <w:tcMar>
              <w:top w:w="15" w:type="dxa"/>
              <w:left w:w="15" w:type="dxa"/>
              <w:right w:w="15" w:type="dxa"/>
            </w:tcMar>
            <w:vAlign w:val="center"/>
          </w:tcPr>
          <w:p w14:paraId="521BBE26">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58AB4F1D">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运输垃圾、渣土、土方散装物料30立方米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106A0CA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处2000元以上</w:t>
            </w:r>
            <w:r>
              <w:rPr>
                <w:rFonts w:hint="default" w:ascii="Times New Roman" w:hAnsi="Times New Roman" w:cs="Times New Roman" w:eastAsiaTheme="minorEastAsia"/>
                <w:color w:val="auto"/>
                <w:kern w:val="0"/>
                <w:sz w:val="18"/>
                <w:szCs w:val="18"/>
                <w:highlight w:val="none"/>
                <w:lang w:val="en-US" w:eastAsia="zh-CN"/>
              </w:rPr>
              <w:t>7400</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restart"/>
            <w:shd w:val="clear" w:color="auto" w:fill="auto"/>
            <w:tcMar>
              <w:top w:w="15" w:type="dxa"/>
              <w:left w:w="15" w:type="dxa"/>
              <w:right w:w="15" w:type="dxa"/>
            </w:tcMar>
            <w:vAlign w:val="center"/>
          </w:tcPr>
          <w:p w14:paraId="4ACA56CE">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责令改正；拒不改正的，车辆不得在道路上行驶</w:t>
            </w:r>
          </w:p>
          <w:p w14:paraId="34745C36">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429D485F">
            <w:pPr>
              <w:shd w:val="clear"/>
              <w:jc w:val="left"/>
              <w:rPr>
                <w:rFonts w:hint="default" w:ascii="Times New Roman" w:hAnsi="Times New Roman" w:cs="Times New Roman" w:eastAsiaTheme="minorEastAsia"/>
                <w:color w:val="auto"/>
                <w:sz w:val="18"/>
                <w:szCs w:val="18"/>
                <w:highlight w:val="none"/>
                <w:lang w:val="en-US" w:eastAsia="zh-CN"/>
              </w:rPr>
            </w:pPr>
          </w:p>
        </w:tc>
      </w:tr>
      <w:tr w14:paraId="3FF5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trPr>
        <w:tc>
          <w:tcPr>
            <w:tcW w:w="117" w:type="pct"/>
            <w:gridSpan w:val="2"/>
            <w:vMerge w:val="continue"/>
            <w:shd w:val="clear" w:color="auto" w:fill="auto"/>
            <w:tcMar>
              <w:top w:w="15" w:type="dxa"/>
              <w:left w:w="15" w:type="dxa"/>
              <w:right w:w="15" w:type="dxa"/>
            </w:tcMar>
            <w:vAlign w:val="center"/>
          </w:tcPr>
          <w:p w14:paraId="467A911A">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45BAEE17">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33A907B0">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02B111C3">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12312645">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2328AA5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运输垃圾、渣土、土方散装物料30立方米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50立方米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76583447">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7400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1.46万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6B9C8E00">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5F792384">
            <w:pPr>
              <w:shd w:val="clear"/>
              <w:jc w:val="left"/>
              <w:rPr>
                <w:rFonts w:hint="default" w:ascii="Times New Roman" w:hAnsi="Times New Roman" w:cs="Times New Roman" w:eastAsiaTheme="minorEastAsia"/>
                <w:color w:val="auto"/>
                <w:sz w:val="18"/>
                <w:szCs w:val="18"/>
                <w:highlight w:val="none"/>
              </w:rPr>
            </w:pPr>
          </w:p>
        </w:tc>
      </w:tr>
      <w:tr w14:paraId="25870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rPr>
        <w:tc>
          <w:tcPr>
            <w:tcW w:w="117" w:type="pct"/>
            <w:gridSpan w:val="2"/>
            <w:vMerge w:val="continue"/>
            <w:shd w:val="clear" w:color="auto" w:fill="auto"/>
            <w:tcMar>
              <w:top w:w="15" w:type="dxa"/>
              <w:left w:w="15" w:type="dxa"/>
              <w:right w:w="15" w:type="dxa"/>
            </w:tcMar>
            <w:vAlign w:val="center"/>
          </w:tcPr>
          <w:p w14:paraId="7A0F70F1">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564073DD">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32F7F59D">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22DB4FD9">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1EFA2CE2">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243A0E97">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运输垃圾、渣土、土方散装物料50立方米</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73B0073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1.46万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2万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6EAA9708">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0582DA8C">
            <w:pPr>
              <w:shd w:val="clear"/>
              <w:jc w:val="left"/>
              <w:rPr>
                <w:rFonts w:hint="default" w:ascii="Times New Roman" w:hAnsi="Times New Roman" w:cs="Times New Roman" w:eastAsiaTheme="minorEastAsia"/>
                <w:color w:val="auto"/>
                <w:sz w:val="18"/>
                <w:szCs w:val="18"/>
                <w:highlight w:val="none"/>
              </w:rPr>
            </w:pPr>
          </w:p>
        </w:tc>
      </w:tr>
      <w:tr w14:paraId="447E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9" w:hRule="atLeast"/>
        </w:trPr>
        <w:tc>
          <w:tcPr>
            <w:tcW w:w="117" w:type="pct"/>
            <w:gridSpan w:val="2"/>
            <w:vMerge w:val="restart"/>
            <w:shd w:val="clear" w:color="auto" w:fill="auto"/>
            <w:tcMar>
              <w:top w:w="15" w:type="dxa"/>
              <w:left w:w="15" w:type="dxa"/>
              <w:right w:w="15" w:type="dxa"/>
            </w:tcMar>
            <w:vAlign w:val="center"/>
          </w:tcPr>
          <w:p w14:paraId="18056033">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36</w:t>
            </w:r>
          </w:p>
        </w:tc>
        <w:tc>
          <w:tcPr>
            <w:tcW w:w="411" w:type="pct"/>
            <w:gridSpan w:val="2"/>
            <w:vMerge w:val="restart"/>
            <w:shd w:val="clear" w:color="auto" w:fill="auto"/>
            <w:tcMar>
              <w:top w:w="15" w:type="dxa"/>
              <w:left w:w="15" w:type="dxa"/>
              <w:right w:w="15" w:type="dxa"/>
            </w:tcMar>
            <w:vAlign w:val="center"/>
          </w:tcPr>
          <w:p w14:paraId="681D5A0E">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未经核准擅自处置建筑垃圾</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7A67D4A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《城市建筑垃圾管理规定》第七条第一款：“处置建筑垃圾的单位，应当向城市人民政府市容环境卫生主管部门提出申请，获得城市建筑垃圾处置核准后，方可处置。”</w:t>
            </w:r>
          </w:p>
        </w:tc>
        <w:tc>
          <w:tcPr>
            <w:tcW w:w="1314" w:type="pct"/>
            <w:gridSpan w:val="2"/>
            <w:vMerge w:val="restart"/>
            <w:shd w:val="clear" w:color="auto" w:fill="auto"/>
            <w:tcMar>
              <w:top w:w="15" w:type="dxa"/>
              <w:left w:w="15" w:type="dxa"/>
              <w:right w:w="15" w:type="dxa"/>
            </w:tcMar>
            <w:vAlign w:val="center"/>
          </w:tcPr>
          <w:p w14:paraId="6D9C924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《城市建筑垃圾管理规定》第二十五条</w:t>
            </w:r>
            <w:r>
              <w:rPr>
                <w:rFonts w:hint="default" w:ascii="Times New Roman" w:hAnsi="Times New Roman" w:cs="Times New Roman" w:eastAsiaTheme="minorEastAsia"/>
                <w:color w:val="auto"/>
                <w:kern w:val="0"/>
                <w:sz w:val="18"/>
                <w:szCs w:val="18"/>
                <w:highlight w:val="none"/>
                <w:lang w:eastAsia="zh-CN"/>
              </w:rPr>
              <w:t>第一项</w:t>
            </w:r>
            <w:r>
              <w:rPr>
                <w:rFonts w:hint="default" w:ascii="Times New Roman" w:hAnsi="Times New Roman" w:cs="Times New Roman" w:eastAsiaTheme="minorEastAsia"/>
                <w:color w:val="auto"/>
                <w:kern w:val="0"/>
                <w:sz w:val="18"/>
                <w:szCs w:val="18"/>
                <w:highlight w:val="none"/>
              </w:rPr>
              <w:t>：“违反本规定，有下列情形之一的，由城市人民政府市容环境卫生主管部门责令限期改正，给予警告，对施工单位处1万元以上10万元以下罚款，对建设单位、运输建筑垃圾的单位处5000元以上3万元以下罚款：（一）未经核准擅自处置建筑垃圾的；”</w:t>
            </w:r>
          </w:p>
        </w:tc>
        <w:tc>
          <w:tcPr>
            <w:tcW w:w="177" w:type="pct"/>
            <w:gridSpan w:val="2"/>
            <w:shd w:val="clear" w:color="auto" w:fill="auto"/>
            <w:tcMar>
              <w:top w:w="15" w:type="dxa"/>
              <w:left w:w="15" w:type="dxa"/>
              <w:right w:w="15" w:type="dxa"/>
            </w:tcMar>
            <w:vAlign w:val="center"/>
          </w:tcPr>
          <w:p w14:paraId="01F60E66">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54281A16">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处置10立方米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199E0FD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 xml:space="preserve">给予警告，对施工单位处 </w:t>
            </w:r>
            <w:r>
              <w:rPr>
                <w:rFonts w:hint="default" w:ascii="Times New Roman" w:hAnsi="Times New Roman" w:cs="Times New Roman" w:eastAsiaTheme="minorEastAsia"/>
                <w:color w:val="auto"/>
                <w:kern w:val="0"/>
                <w:sz w:val="18"/>
                <w:szCs w:val="18"/>
                <w:highlight w:val="none"/>
                <w:lang w:val="en-US"/>
              </w:rPr>
              <w:t>1万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3.7万</w:t>
            </w:r>
            <w:r>
              <w:rPr>
                <w:rFonts w:hint="default" w:ascii="Times New Roman" w:hAnsi="Times New Roman" w:cs="Times New Roman" w:eastAsiaTheme="minorEastAsia"/>
                <w:color w:val="auto"/>
                <w:kern w:val="0"/>
                <w:sz w:val="18"/>
                <w:szCs w:val="18"/>
                <w:highlight w:val="none"/>
              </w:rPr>
              <w:t>元以下罚款，对建设单位、运输建筑垃圾的单位处5000元以上</w:t>
            </w:r>
            <w:r>
              <w:rPr>
                <w:rFonts w:hint="default" w:ascii="Times New Roman" w:hAnsi="Times New Roman" w:cs="Times New Roman" w:eastAsiaTheme="minorEastAsia"/>
                <w:color w:val="auto"/>
                <w:kern w:val="0"/>
                <w:sz w:val="18"/>
                <w:szCs w:val="18"/>
                <w:highlight w:val="none"/>
                <w:lang w:val="en-US" w:eastAsia="zh-CN"/>
              </w:rPr>
              <w:t>1.25万</w:t>
            </w:r>
            <w:r>
              <w:rPr>
                <w:rFonts w:hint="default" w:ascii="Times New Roman" w:hAnsi="Times New Roman" w:cs="Times New Roman" w:eastAsiaTheme="minorEastAsia"/>
                <w:color w:val="auto"/>
                <w:kern w:val="0"/>
                <w:sz w:val="18"/>
                <w:szCs w:val="18"/>
                <w:highlight w:val="none"/>
              </w:rPr>
              <w:t>元以下罚款</w:t>
            </w:r>
          </w:p>
        </w:tc>
        <w:tc>
          <w:tcPr>
            <w:tcW w:w="200" w:type="pct"/>
            <w:gridSpan w:val="2"/>
            <w:vMerge w:val="restart"/>
            <w:shd w:val="clear" w:color="auto" w:fill="auto"/>
            <w:tcMar>
              <w:top w:w="15" w:type="dxa"/>
              <w:left w:w="15" w:type="dxa"/>
              <w:right w:w="15" w:type="dxa"/>
            </w:tcMar>
            <w:vAlign w:val="center"/>
          </w:tcPr>
          <w:p w14:paraId="1D29453E">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w:t>
            </w:r>
          </w:p>
          <w:p w14:paraId="473D8B46">
            <w:pPr>
              <w:widowControl/>
              <w:shd w:val="clear"/>
              <w:jc w:val="left"/>
              <w:textAlignment w:val="center"/>
              <w:rPr>
                <w:rFonts w:hint="default" w:ascii="Times New Roman" w:hAnsi="Times New Roman" w:cs="Times New Roman" w:eastAsiaTheme="minorEastAsia"/>
                <w:color w:val="auto"/>
                <w:sz w:val="18"/>
                <w:szCs w:val="18"/>
                <w:highlight w:val="none"/>
              </w:rPr>
            </w:pPr>
          </w:p>
          <w:p w14:paraId="6911EBF8">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58B3CB96">
            <w:pPr>
              <w:shd w:val="clear"/>
              <w:rPr>
                <w:rFonts w:hint="default" w:ascii="Times New Roman" w:hAnsi="Times New Roman" w:cs="Times New Roman" w:eastAsiaTheme="minorEastAsia"/>
                <w:color w:val="auto"/>
                <w:sz w:val="18"/>
                <w:szCs w:val="18"/>
                <w:highlight w:val="none"/>
                <w:lang w:val="en-US" w:eastAsia="zh-CN"/>
              </w:rPr>
            </w:pPr>
          </w:p>
        </w:tc>
      </w:tr>
      <w:tr w14:paraId="1DC1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1" w:hRule="atLeast"/>
        </w:trPr>
        <w:tc>
          <w:tcPr>
            <w:tcW w:w="117" w:type="pct"/>
            <w:gridSpan w:val="2"/>
            <w:vMerge w:val="continue"/>
            <w:shd w:val="clear" w:color="auto" w:fill="auto"/>
            <w:tcMar>
              <w:top w:w="15" w:type="dxa"/>
              <w:left w:w="15" w:type="dxa"/>
              <w:right w:w="15" w:type="dxa"/>
            </w:tcMar>
            <w:vAlign w:val="center"/>
          </w:tcPr>
          <w:p w14:paraId="7BCFD04B">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7DBB6465">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5F2B7D4A">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0DFA6C55">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3B22AEEE">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129520C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处置10立方米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15立方米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53A3B39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给予警告，对施工单位处</w:t>
            </w:r>
            <w:r>
              <w:rPr>
                <w:rFonts w:hint="default" w:ascii="Times New Roman" w:hAnsi="Times New Roman" w:cs="Times New Roman" w:eastAsiaTheme="minorEastAsia"/>
                <w:color w:val="auto"/>
                <w:kern w:val="0"/>
                <w:sz w:val="18"/>
                <w:szCs w:val="18"/>
                <w:highlight w:val="none"/>
                <w:lang w:val="en-US" w:eastAsia="zh-CN"/>
              </w:rPr>
              <w:t>3.7万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7.3万</w:t>
            </w:r>
            <w:r>
              <w:rPr>
                <w:rFonts w:hint="default" w:ascii="Times New Roman" w:hAnsi="Times New Roman" w:cs="Times New Roman" w:eastAsiaTheme="minorEastAsia"/>
                <w:color w:val="auto"/>
                <w:kern w:val="0"/>
                <w:sz w:val="18"/>
                <w:szCs w:val="18"/>
                <w:highlight w:val="none"/>
              </w:rPr>
              <w:t>元以下罚款，对建设单位、运输建筑垃圾的单位处</w:t>
            </w:r>
            <w:r>
              <w:rPr>
                <w:rFonts w:hint="default" w:ascii="Times New Roman" w:hAnsi="Times New Roman" w:cs="Times New Roman" w:eastAsiaTheme="minorEastAsia"/>
                <w:color w:val="auto"/>
                <w:kern w:val="0"/>
                <w:sz w:val="18"/>
                <w:szCs w:val="18"/>
                <w:highlight w:val="none"/>
                <w:lang w:val="en-US" w:eastAsia="zh-CN"/>
              </w:rPr>
              <w:t>1.25万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2.25万</w:t>
            </w:r>
            <w:r>
              <w:rPr>
                <w:rFonts w:hint="default" w:ascii="Times New Roman" w:hAnsi="Times New Roman" w:cs="Times New Roman" w:eastAsiaTheme="minorEastAsia"/>
                <w:color w:val="auto"/>
                <w:kern w:val="0"/>
                <w:sz w:val="18"/>
                <w:szCs w:val="18"/>
                <w:highlight w:val="none"/>
              </w:rPr>
              <w:t>元以下罚款</w:t>
            </w:r>
          </w:p>
        </w:tc>
        <w:tc>
          <w:tcPr>
            <w:tcW w:w="200" w:type="pct"/>
            <w:gridSpan w:val="2"/>
            <w:vMerge w:val="continue"/>
            <w:shd w:val="clear" w:color="auto" w:fill="auto"/>
            <w:tcMar>
              <w:top w:w="15" w:type="dxa"/>
              <w:left w:w="15" w:type="dxa"/>
              <w:right w:w="15" w:type="dxa"/>
            </w:tcMar>
            <w:vAlign w:val="center"/>
          </w:tcPr>
          <w:p w14:paraId="6415F24D">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39036626">
            <w:pPr>
              <w:shd w:val="clear"/>
              <w:rPr>
                <w:rFonts w:hint="default" w:ascii="Times New Roman" w:hAnsi="Times New Roman" w:cs="Times New Roman" w:eastAsiaTheme="minorEastAsia"/>
                <w:color w:val="auto"/>
                <w:sz w:val="18"/>
                <w:szCs w:val="18"/>
                <w:highlight w:val="none"/>
              </w:rPr>
            </w:pPr>
          </w:p>
        </w:tc>
      </w:tr>
      <w:tr w14:paraId="70514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4" w:hRule="atLeast"/>
        </w:trPr>
        <w:tc>
          <w:tcPr>
            <w:tcW w:w="117" w:type="pct"/>
            <w:gridSpan w:val="2"/>
            <w:vMerge w:val="continue"/>
            <w:shd w:val="clear" w:color="auto" w:fill="auto"/>
            <w:tcMar>
              <w:top w:w="15" w:type="dxa"/>
              <w:left w:w="15" w:type="dxa"/>
              <w:right w:w="15" w:type="dxa"/>
            </w:tcMar>
            <w:vAlign w:val="center"/>
          </w:tcPr>
          <w:p w14:paraId="5077208F">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5C9601D1">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7E752AA7">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7554F254">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58D00F55">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1B13290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处置15立方米</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14BFACA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给予警告，对施工单位处</w:t>
            </w:r>
            <w:r>
              <w:rPr>
                <w:rFonts w:hint="default" w:ascii="Times New Roman" w:hAnsi="Times New Roman" w:cs="Times New Roman" w:eastAsiaTheme="minorEastAsia"/>
                <w:color w:val="auto"/>
                <w:kern w:val="0"/>
                <w:sz w:val="18"/>
                <w:szCs w:val="18"/>
                <w:highlight w:val="none"/>
                <w:lang w:val="en-US" w:eastAsia="zh-CN"/>
              </w:rPr>
              <w:t>7.3万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元以下罚款，对建设单位、运输建筑垃圾的单位处</w:t>
            </w:r>
            <w:r>
              <w:rPr>
                <w:rFonts w:hint="default" w:ascii="Times New Roman" w:hAnsi="Times New Roman" w:cs="Times New Roman" w:eastAsiaTheme="minorEastAsia"/>
                <w:color w:val="auto"/>
                <w:kern w:val="0"/>
                <w:sz w:val="18"/>
                <w:szCs w:val="18"/>
                <w:highlight w:val="none"/>
                <w:lang w:val="en-US" w:eastAsia="zh-CN"/>
              </w:rPr>
              <w:t>2.25万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元以下罚款</w:t>
            </w:r>
          </w:p>
        </w:tc>
        <w:tc>
          <w:tcPr>
            <w:tcW w:w="200" w:type="pct"/>
            <w:gridSpan w:val="2"/>
            <w:vMerge w:val="continue"/>
            <w:shd w:val="clear" w:color="auto" w:fill="auto"/>
            <w:tcMar>
              <w:top w:w="15" w:type="dxa"/>
              <w:left w:w="15" w:type="dxa"/>
              <w:right w:w="15" w:type="dxa"/>
            </w:tcMar>
            <w:vAlign w:val="center"/>
          </w:tcPr>
          <w:p w14:paraId="3BE15553">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49735A50">
            <w:pPr>
              <w:shd w:val="clear"/>
              <w:rPr>
                <w:rFonts w:hint="default" w:ascii="Times New Roman" w:hAnsi="Times New Roman" w:cs="Times New Roman" w:eastAsiaTheme="minorEastAsia"/>
                <w:color w:val="auto"/>
                <w:sz w:val="18"/>
                <w:szCs w:val="18"/>
                <w:highlight w:val="none"/>
              </w:rPr>
            </w:pPr>
          </w:p>
        </w:tc>
      </w:tr>
      <w:tr w14:paraId="5161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117" w:type="pct"/>
            <w:gridSpan w:val="2"/>
            <w:vMerge w:val="restart"/>
            <w:shd w:val="clear" w:color="auto" w:fill="auto"/>
            <w:tcMar>
              <w:top w:w="15" w:type="dxa"/>
              <w:left w:w="15" w:type="dxa"/>
              <w:right w:w="15" w:type="dxa"/>
            </w:tcMar>
            <w:vAlign w:val="center"/>
          </w:tcPr>
          <w:p w14:paraId="48A4F76B">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sz w:val="18"/>
                <w:szCs w:val="18"/>
                <w:highlight w:val="none"/>
                <w:lang w:val="en-US" w:eastAsia="zh-CN"/>
              </w:rPr>
              <w:t>37</w:t>
            </w:r>
          </w:p>
        </w:tc>
        <w:tc>
          <w:tcPr>
            <w:tcW w:w="411" w:type="pct"/>
            <w:gridSpan w:val="2"/>
            <w:vMerge w:val="restart"/>
            <w:shd w:val="clear" w:color="auto" w:fill="auto"/>
            <w:tcMar>
              <w:top w:w="15" w:type="dxa"/>
              <w:left w:w="15" w:type="dxa"/>
              <w:right w:w="15" w:type="dxa"/>
            </w:tcMar>
            <w:vAlign w:val="center"/>
          </w:tcPr>
          <w:p w14:paraId="018A2623">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涂改、倒卖、出租、出借或者以其他形式非法转让城市建筑垃圾处置核准文件</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38A35DE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《城市建筑垃圾管理规定》第八条：“禁止涂改、倒卖、出租、出借或者以其他形式非法转让城市建筑垃圾处置核准文件。”</w:t>
            </w:r>
          </w:p>
        </w:tc>
        <w:tc>
          <w:tcPr>
            <w:tcW w:w="1314" w:type="pct"/>
            <w:gridSpan w:val="2"/>
            <w:vMerge w:val="restart"/>
            <w:shd w:val="clear" w:color="auto" w:fill="auto"/>
            <w:tcMar>
              <w:top w:w="15" w:type="dxa"/>
              <w:left w:w="15" w:type="dxa"/>
              <w:right w:w="15" w:type="dxa"/>
            </w:tcMar>
            <w:vAlign w:val="center"/>
          </w:tcPr>
          <w:p w14:paraId="5D59775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《城市建筑垃圾管理规定》第二十四条：“涂改、倒卖、出租、出借或者以其他形式非法转让城市建筑垃圾处置核准文件的，责令限期改正，给予警告，处5000元以上2万元以下罚款。”</w:t>
            </w:r>
          </w:p>
        </w:tc>
        <w:tc>
          <w:tcPr>
            <w:tcW w:w="177" w:type="pct"/>
            <w:gridSpan w:val="2"/>
            <w:shd w:val="clear" w:color="auto" w:fill="auto"/>
            <w:tcMar>
              <w:top w:w="15" w:type="dxa"/>
              <w:left w:w="15" w:type="dxa"/>
              <w:right w:w="15" w:type="dxa"/>
            </w:tcMar>
            <w:vAlign w:val="center"/>
          </w:tcPr>
          <w:p w14:paraId="2C537FB3">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64128C3A">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涂改、倒卖、出租、出借或者以其他形式非法转让城市建筑垃圾处置核准文件一个月</w:t>
            </w:r>
            <w:r>
              <w:rPr>
                <w:rFonts w:hint="default" w:ascii="Times New Roman" w:hAnsi="Times New Roman" w:cs="Times New Roman" w:eastAsiaTheme="minorEastAsia"/>
                <w:color w:val="auto"/>
                <w:kern w:val="0"/>
                <w:sz w:val="18"/>
                <w:szCs w:val="18"/>
                <w:highlight w:val="none"/>
                <w:lang w:eastAsia="zh-CN"/>
              </w:rPr>
              <w:t>以下，尚未开展城市建筑垃圾处置</w:t>
            </w:r>
          </w:p>
        </w:tc>
        <w:tc>
          <w:tcPr>
            <w:tcW w:w="545" w:type="pct"/>
            <w:gridSpan w:val="2"/>
            <w:shd w:val="clear" w:color="auto" w:fill="auto"/>
            <w:tcMar>
              <w:top w:w="15" w:type="dxa"/>
              <w:left w:w="15" w:type="dxa"/>
              <w:right w:w="15" w:type="dxa"/>
            </w:tcMar>
            <w:vAlign w:val="center"/>
          </w:tcPr>
          <w:p w14:paraId="2C5785C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给予警告，处5000元以上</w:t>
            </w:r>
            <w:r>
              <w:rPr>
                <w:rFonts w:hint="default" w:ascii="Times New Roman" w:hAnsi="Times New Roman" w:cs="Times New Roman" w:eastAsiaTheme="minorEastAsia"/>
                <w:color w:val="auto"/>
                <w:kern w:val="0"/>
                <w:sz w:val="18"/>
                <w:szCs w:val="18"/>
                <w:highlight w:val="none"/>
                <w:lang w:val="en-US" w:eastAsia="zh-CN"/>
              </w:rPr>
              <w:t>9500</w:t>
            </w:r>
            <w:r>
              <w:rPr>
                <w:rFonts w:hint="default" w:ascii="Times New Roman" w:hAnsi="Times New Roman" w:cs="Times New Roman" w:eastAsiaTheme="minorEastAsia"/>
                <w:color w:val="auto"/>
                <w:kern w:val="0"/>
                <w:sz w:val="18"/>
                <w:szCs w:val="18"/>
                <w:highlight w:val="none"/>
              </w:rPr>
              <w:t>元以下罚款</w:t>
            </w:r>
          </w:p>
        </w:tc>
        <w:tc>
          <w:tcPr>
            <w:tcW w:w="200" w:type="pct"/>
            <w:gridSpan w:val="2"/>
            <w:vMerge w:val="restart"/>
            <w:shd w:val="clear" w:color="auto" w:fill="auto"/>
            <w:tcMar>
              <w:top w:w="15" w:type="dxa"/>
              <w:left w:w="15" w:type="dxa"/>
              <w:right w:w="15" w:type="dxa"/>
            </w:tcMar>
            <w:vAlign w:val="center"/>
          </w:tcPr>
          <w:p w14:paraId="25DD1378">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w:t>
            </w:r>
          </w:p>
          <w:p w14:paraId="065DCED1">
            <w:pPr>
              <w:widowControl/>
              <w:shd w:val="clear"/>
              <w:jc w:val="left"/>
              <w:textAlignment w:val="center"/>
              <w:rPr>
                <w:rFonts w:hint="default" w:ascii="Times New Roman" w:hAnsi="Times New Roman" w:cs="Times New Roman" w:eastAsiaTheme="minorEastAsia"/>
                <w:color w:val="auto"/>
                <w:sz w:val="18"/>
                <w:szCs w:val="18"/>
                <w:highlight w:val="none"/>
              </w:rPr>
            </w:pPr>
          </w:p>
          <w:p w14:paraId="28E47A0B">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7F60C192">
            <w:pPr>
              <w:shd w:val="clear"/>
              <w:rPr>
                <w:rFonts w:hint="default" w:ascii="Times New Roman" w:hAnsi="Times New Roman" w:cs="Times New Roman" w:eastAsiaTheme="minorEastAsia"/>
                <w:color w:val="auto"/>
                <w:sz w:val="18"/>
                <w:szCs w:val="18"/>
                <w:highlight w:val="none"/>
                <w:lang w:val="en-US" w:eastAsia="zh-CN"/>
              </w:rPr>
            </w:pPr>
          </w:p>
        </w:tc>
      </w:tr>
      <w:tr w14:paraId="65A2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117" w:type="pct"/>
            <w:gridSpan w:val="2"/>
            <w:vMerge w:val="continue"/>
            <w:shd w:val="clear" w:color="auto" w:fill="auto"/>
            <w:tcMar>
              <w:top w:w="15" w:type="dxa"/>
              <w:left w:w="15" w:type="dxa"/>
              <w:right w:w="15" w:type="dxa"/>
            </w:tcMar>
            <w:vAlign w:val="center"/>
          </w:tcPr>
          <w:p w14:paraId="72FEEC07">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1C8CCF21">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EF99A88">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0B38D2C2">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0562DD17">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3F991F9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涂改、倒卖、出租、出借或者以其他形式非法转让城市建筑垃圾处置核准文件一个月</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rPr>
              <w:t>，且已开展城市建筑垃圾处置</w:t>
            </w:r>
          </w:p>
        </w:tc>
        <w:tc>
          <w:tcPr>
            <w:tcW w:w="545" w:type="pct"/>
            <w:gridSpan w:val="2"/>
            <w:shd w:val="clear" w:color="auto" w:fill="auto"/>
            <w:tcMar>
              <w:top w:w="15" w:type="dxa"/>
              <w:left w:w="15" w:type="dxa"/>
              <w:right w:w="15" w:type="dxa"/>
            </w:tcMar>
            <w:vAlign w:val="center"/>
          </w:tcPr>
          <w:p w14:paraId="13A8A67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给予警告，处</w:t>
            </w:r>
            <w:r>
              <w:rPr>
                <w:rFonts w:hint="default" w:ascii="Times New Roman" w:hAnsi="Times New Roman" w:cs="Times New Roman" w:eastAsiaTheme="minorEastAsia"/>
                <w:color w:val="auto"/>
                <w:kern w:val="0"/>
                <w:sz w:val="18"/>
                <w:szCs w:val="18"/>
                <w:highlight w:val="none"/>
                <w:lang w:val="en-US" w:eastAsia="zh-CN"/>
              </w:rPr>
              <w:t>9500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1.55万</w:t>
            </w:r>
            <w:r>
              <w:rPr>
                <w:rFonts w:hint="default" w:ascii="Times New Roman" w:hAnsi="Times New Roman" w:cs="Times New Roman" w:eastAsiaTheme="minorEastAsia"/>
                <w:color w:val="auto"/>
                <w:kern w:val="0"/>
                <w:sz w:val="18"/>
                <w:szCs w:val="18"/>
                <w:highlight w:val="none"/>
              </w:rPr>
              <w:t>元以下罚款</w:t>
            </w:r>
          </w:p>
        </w:tc>
        <w:tc>
          <w:tcPr>
            <w:tcW w:w="200" w:type="pct"/>
            <w:gridSpan w:val="2"/>
            <w:vMerge w:val="continue"/>
            <w:shd w:val="clear" w:color="auto" w:fill="auto"/>
            <w:tcMar>
              <w:top w:w="15" w:type="dxa"/>
              <w:left w:w="15" w:type="dxa"/>
              <w:right w:w="15" w:type="dxa"/>
            </w:tcMar>
            <w:vAlign w:val="center"/>
          </w:tcPr>
          <w:p w14:paraId="3FE05B97">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7BB83CA5">
            <w:pPr>
              <w:shd w:val="clear"/>
              <w:rPr>
                <w:rFonts w:hint="default" w:ascii="Times New Roman" w:hAnsi="Times New Roman" w:cs="Times New Roman" w:eastAsiaTheme="minorEastAsia"/>
                <w:color w:val="auto"/>
                <w:sz w:val="18"/>
                <w:szCs w:val="18"/>
                <w:highlight w:val="none"/>
              </w:rPr>
            </w:pPr>
          </w:p>
        </w:tc>
      </w:tr>
      <w:tr w14:paraId="2ECA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117" w:type="pct"/>
            <w:gridSpan w:val="2"/>
            <w:vMerge w:val="continue"/>
            <w:shd w:val="clear" w:color="auto" w:fill="auto"/>
            <w:tcMar>
              <w:top w:w="15" w:type="dxa"/>
              <w:left w:w="15" w:type="dxa"/>
              <w:right w:w="15" w:type="dxa"/>
            </w:tcMar>
            <w:vAlign w:val="center"/>
          </w:tcPr>
          <w:p w14:paraId="45618B4C">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27A9EBC5">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559FFFE">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15BAE91C">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2D2F3500">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6E15456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涂改、倒卖、出租、出借或者以其他形式非法转让城市建筑垃圾处置核准文件一个月</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245C5DD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给予警告，处</w:t>
            </w:r>
            <w:r>
              <w:rPr>
                <w:rFonts w:hint="default" w:ascii="Times New Roman" w:hAnsi="Times New Roman" w:cs="Times New Roman" w:eastAsiaTheme="minorEastAsia"/>
                <w:color w:val="auto"/>
                <w:kern w:val="0"/>
                <w:sz w:val="18"/>
                <w:szCs w:val="18"/>
                <w:highlight w:val="none"/>
                <w:lang w:val="en-US" w:eastAsia="zh-CN"/>
              </w:rPr>
              <w:t>1.55万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2万</w:t>
            </w:r>
            <w:r>
              <w:rPr>
                <w:rFonts w:hint="default" w:ascii="Times New Roman" w:hAnsi="Times New Roman" w:cs="Times New Roman" w:eastAsiaTheme="minorEastAsia"/>
                <w:color w:val="auto"/>
                <w:kern w:val="0"/>
                <w:sz w:val="18"/>
                <w:szCs w:val="18"/>
                <w:highlight w:val="none"/>
              </w:rPr>
              <w:t>元以下罚款</w:t>
            </w:r>
          </w:p>
        </w:tc>
        <w:tc>
          <w:tcPr>
            <w:tcW w:w="200" w:type="pct"/>
            <w:gridSpan w:val="2"/>
            <w:vMerge w:val="continue"/>
            <w:shd w:val="clear" w:color="auto" w:fill="auto"/>
            <w:tcMar>
              <w:top w:w="15" w:type="dxa"/>
              <w:left w:w="15" w:type="dxa"/>
              <w:right w:w="15" w:type="dxa"/>
            </w:tcMar>
            <w:vAlign w:val="center"/>
          </w:tcPr>
          <w:p w14:paraId="577FD966">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77A1A6B3">
            <w:pPr>
              <w:shd w:val="clear"/>
              <w:rPr>
                <w:rFonts w:hint="default" w:ascii="Times New Roman" w:hAnsi="Times New Roman" w:cs="Times New Roman" w:eastAsiaTheme="minorEastAsia"/>
                <w:color w:val="auto"/>
                <w:sz w:val="18"/>
                <w:szCs w:val="18"/>
                <w:highlight w:val="none"/>
              </w:rPr>
            </w:pPr>
          </w:p>
        </w:tc>
      </w:tr>
      <w:tr w14:paraId="0CFB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0" w:hRule="atLeast"/>
        </w:trPr>
        <w:tc>
          <w:tcPr>
            <w:tcW w:w="117" w:type="pct"/>
            <w:gridSpan w:val="2"/>
            <w:vMerge w:val="restart"/>
            <w:shd w:val="clear" w:color="auto" w:fill="auto"/>
            <w:tcMar>
              <w:top w:w="15" w:type="dxa"/>
              <w:left w:w="15" w:type="dxa"/>
              <w:right w:w="15" w:type="dxa"/>
            </w:tcMar>
            <w:vAlign w:val="center"/>
          </w:tcPr>
          <w:p w14:paraId="1AC01FD0">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38</w:t>
            </w:r>
          </w:p>
        </w:tc>
        <w:tc>
          <w:tcPr>
            <w:tcW w:w="411" w:type="pct"/>
            <w:gridSpan w:val="2"/>
            <w:vMerge w:val="restart"/>
            <w:shd w:val="clear" w:color="auto" w:fill="auto"/>
            <w:tcMar>
              <w:top w:w="15" w:type="dxa"/>
              <w:left w:w="15" w:type="dxa"/>
              <w:right w:w="15" w:type="dxa"/>
            </w:tcMar>
            <w:vAlign w:val="center"/>
          </w:tcPr>
          <w:p w14:paraId="50A259DF">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将建筑垃圾混入生活垃圾</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50180D0F">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《城市建筑垃圾管理规定》第九条：“任何单位和个人不得将建筑垃圾混入生活垃圾，不得将危险废物混入建筑垃圾，不得擅自设立弃置场受纳建筑垃圾。”</w:t>
            </w:r>
          </w:p>
        </w:tc>
        <w:tc>
          <w:tcPr>
            <w:tcW w:w="1314" w:type="pct"/>
            <w:gridSpan w:val="2"/>
            <w:vMerge w:val="restart"/>
            <w:shd w:val="clear" w:color="auto" w:fill="auto"/>
            <w:tcMar>
              <w:top w:w="15" w:type="dxa"/>
              <w:left w:w="15" w:type="dxa"/>
              <w:right w:w="15" w:type="dxa"/>
            </w:tcMar>
            <w:vAlign w:val="center"/>
          </w:tcPr>
          <w:p w14:paraId="3D9A62F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建筑垃圾管理规定》第二十条：“任何单位和个人有下列情形之一的，由城市人民政府市容环境卫生主管部门责令限期改正，给予警告，处以罚款：（一）将建筑垃圾混入生活垃圾的；”“单位有前款第一项、第二项行为之一的，处3000元以下罚款；......。个人有前款第一项、第二项行为之一的，处200元以下罚款；......。”</w:t>
            </w:r>
          </w:p>
        </w:tc>
        <w:tc>
          <w:tcPr>
            <w:tcW w:w="177" w:type="pct"/>
            <w:gridSpan w:val="2"/>
            <w:shd w:val="clear" w:color="auto" w:fill="auto"/>
            <w:tcMar>
              <w:top w:w="15" w:type="dxa"/>
              <w:left w:w="15" w:type="dxa"/>
              <w:right w:w="15" w:type="dxa"/>
            </w:tcMar>
            <w:vAlign w:val="center"/>
          </w:tcPr>
          <w:p w14:paraId="57CF0B22">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3928C32E">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单位：混入后</w:t>
            </w:r>
            <w:r>
              <w:rPr>
                <w:rFonts w:hint="default" w:ascii="Times New Roman" w:hAnsi="Times New Roman" w:cs="Times New Roman" w:eastAsiaTheme="minorEastAsia"/>
                <w:color w:val="auto"/>
                <w:kern w:val="0"/>
                <w:sz w:val="18"/>
                <w:szCs w:val="18"/>
                <w:highlight w:val="none"/>
                <w:lang w:eastAsia="zh-CN"/>
              </w:rPr>
              <w:t>总</w:t>
            </w:r>
            <w:r>
              <w:rPr>
                <w:rFonts w:hint="default" w:ascii="Times New Roman" w:hAnsi="Times New Roman" w:cs="Times New Roman" w:eastAsiaTheme="minorEastAsia"/>
                <w:color w:val="auto"/>
                <w:kern w:val="0"/>
                <w:sz w:val="18"/>
                <w:szCs w:val="18"/>
                <w:highlight w:val="none"/>
              </w:rPr>
              <w:t>体积20立方米</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rPr>
              <w:t>的；</w:t>
            </w:r>
          </w:p>
          <w:p w14:paraId="08520CBE">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个人：混入后</w:t>
            </w:r>
            <w:r>
              <w:rPr>
                <w:rFonts w:hint="default" w:ascii="Times New Roman" w:hAnsi="Times New Roman" w:cs="Times New Roman" w:eastAsiaTheme="minorEastAsia"/>
                <w:color w:val="auto"/>
                <w:kern w:val="0"/>
                <w:sz w:val="18"/>
                <w:szCs w:val="18"/>
                <w:highlight w:val="none"/>
                <w:lang w:eastAsia="zh-CN"/>
              </w:rPr>
              <w:t>总</w:t>
            </w:r>
            <w:r>
              <w:rPr>
                <w:rFonts w:hint="default" w:ascii="Times New Roman" w:hAnsi="Times New Roman" w:cs="Times New Roman" w:eastAsiaTheme="minorEastAsia"/>
                <w:color w:val="auto"/>
                <w:kern w:val="0"/>
                <w:sz w:val="18"/>
                <w:szCs w:val="18"/>
                <w:highlight w:val="none"/>
              </w:rPr>
              <w:t>体积</w:t>
            </w:r>
            <w:r>
              <w:rPr>
                <w:rFonts w:hint="default" w:ascii="Times New Roman" w:hAnsi="Times New Roman" w:cs="Times New Roman" w:eastAsiaTheme="minorEastAsia"/>
                <w:color w:val="auto"/>
                <w:kern w:val="0"/>
                <w:sz w:val="18"/>
                <w:szCs w:val="18"/>
                <w:highlight w:val="none"/>
                <w:lang w:val="en-US" w:eastAsia="zh-CN"/>
              </w:rPr>
              <w:t>3</w:t>
            </w:r>
            <w:r>
              <w:rPr>
                <w:rFonts w:hint="default" w:ascii="Times New Roman" w:hAnsi="Times New Roman" w:cs="Times New Roman" w:eastAsiaTheme="minorEastAsia"/>
                <w:color w:val="auto"/>
                <w:kern w:val="0"/>
                <w:sz w:val="18"/>
                <w:szCs w:val="18"/>
                <w:highlight w:val="none"/>
              </w:rPr>
              <w:t>立方米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5919086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给予警告，对单位处</w:t>
            </w:r>
            <w:r>
              <w:rPr>
                <w:rFonts w:hint="default" w:ascii="Times New Roman" w:hAnsi="Times New Roman" w:cs="Times New Roman" w:eastAsiaTheme="minorEastAsia"/>
                <w:color w:val="auto"/>
                <w:kern w:val="0"/>
                <w:sz w:val="18"/>
                <w:szCs w:val="18"/>
                <w:highlight w:val="none"/>
                <w:lang w:val="en-US" w:eastAsia="zh-CN"/>
              </w:rPr>
              <w:t>900</w:t>
            </w:r>
            <w:r>
              <w:rPr>
                <w:rFonts w:hint="default" w:ascii="Times New Roman" w:hAnsi="Times New Roman" w:cs="Times New Roman" w:eastAsiaTheme="minorEastAsia"/>
                <w:color w:val="auto"/>
                <w:kern w:val="0"/>
                <w:sz w:val="18"/>
                <w:szCs w:val="18"/>
                <w:highlight w:val="none"/>
              </w:rPr>
              <w:t>元以下罚款，对个人处</w:t>
            </w:r>
            <w:r>
              <w:rPr>
                <w:rFonts w:hint="default" w:ascii="Times New Roman" w:hAnsi="Times New Roman" w:cs="Times New Roman" w:eastAsiaTheme="minorEastAsia"/>
                <w:color w:val="auto"/>
                <w:kern w:val="0"/>
                <w:sz w:val="18"/>
                <w:szCs w:val="18"/>
                <w:highlight w:val="none"/>
                <w:lang w:val="en-US" w:eastAsia="zh-CN"/>
              </w:rPr>
              <w:t>60</w:t>
            </w:r>
            <w:r>
              <w:rPr>
                <w:rFonts w:hint="default" w:ascii="Times New Roman" w:hAnsi="Times New Roman" w:cs="Times New Roman" w:eastAsiaTheme="minorEastAsia"/>
                <w:color w:val="auto"/>
                <w:kern w:val="0"/>
                <w:sz w:val="18"/>
                <w:szCs w:val="18"/>
                <w:highlight w:val="none"/>
              </w:rPr>
              <w:t>元以下罚款</w:t>
            </w:r>
          </w:p>
        </w:tc>
        <w:tc>
          <w:tcPr>
            <w:tcW w:w="200" w:type="pct"/>
            <w:gridSpan w:val="2"/>
            <w:vMerge w:val="restart"/>
            <w:shd w:val="clear" w:color="auto" w:fill="auto"/>
            <w:tcMar>
              <w:top w:w="15" w:type="dxa"/>
              <w:left w:w="15" w:type="dxa"/>
              <w:right w:w="15" w:type="dxa"/>
            </w:tcMar>
            <w:vAlign w:val="center"/>
          </w:tcPr>
          <w:p w14:paraId="009F3DF8">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w:t>
            </w:r>
          </w:p>
          <w:p w14:paraId="4D98435E">
            <w:pPr>
              <w:widowControl/>
              <w:shd w:val="clear"/>
              <w:jc w:val="left"/>
              <w:textAlignment w:val="center"/>
              <w:rPr>
                <w:rFonts w:hint="default" w:ascii="Times New Roman" w:hAnsi="Times New Roman" w:cs="Times New Roman" w:eastAsiaTheme="minorEastAsia"/>
                <w:color w:val="auto"/>
                <w:sz w:val="18"/>
                <w:szCs w:val="18"/>
                <w:highlight w:val="none"/>
              </w:rPr>
            </w:pPr>
          </w:p>
          <w:p w14:paraId="166E5B68">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6D48B866">
            <w:pPr>
              <w:shd w:val="clear"/>
              <w:rPr>
                <w:rFonts w:hint="default" w:ascii="Times New Roman" w:hAnsi="Times New Roman" w:cs="Times New Roman" w:eastAsiaTheme="minorEastAsia"/>
                <w:color w:val="auto"/>
                <w:sz w:val="18"/>
                <w:szCs w:val="18"/>
                <w:highlight w:val="none"/>
                <w:lang w:val="en-US" w:eastAsia="zh-CN"/>
              </w:rPr>
            </w:pPr>
          </w:p>
        </w:tc>
      </w:tr>
      <w:tr w14:paraId="731E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7" w:type="pct"/>
            <w:gridSpan w:val="2"/>
            <w:vMerge w:val="continue"/>
            <w:shd w:val="clear" w:color="auto" w:fill="auto"/>
            <w:tcMar>
              <w:top w:w="15" w:type="dxa"/>
              <w:left w:w="15" w:type="dxa"/>
              <w:right w:w="15" w:type="dxa"/>
            </w:tcMar>
            <w:vAlign w:val="center"/>
          </w:tcPr>
          <w:p w14:paraId="19A11588">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12BA3DE3">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6DA10433">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36E5CD5C">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67E02CF5">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20365CA5">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单位：混入后</w:t>
            </w:r>
            <w:r>
              <w:rPr>
                <w:rFonts w:hint="default" w:ascii="Times New Roman" w:hAnsi="Times New Roman" w:cs="Times New Roman" w:eastAsiaTheme="minorEastAsia"/>
                <w:color w:val="auto"/>
                <w:kern w:val="0"/>
                <w:sz w:val="18"/>
                <w:szCs w:val="18"/>
                <w:highlight w:val="none"/>
                <w:lang w:eastAsia="zh-CN"/>
              </w:rPr>
              <w:t>总</w:t>
            </w:r>
            <w:r>
              <w:rPr>
                <w:rFonts w:hint="default" w:ascii="Times New Roman" w:hAnsi="Times New Roman" w:cs="Times New Roman" w:eastAsiaTheme="minorEastAsia"/>
                <w:color w:val="auto"/>
                <w:kern w:val="0"/>
                <w:sz w:val="18"/>
                <w:szCs w:val="18"/>
                <w:highlight w:val="none"/>
              </w:rPr>
              <w:t>体积20立方米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50立方米</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rPr>
              <w:t>；</w:t>
            </w:r>
          </w:p>
          <w:p w14:paraId="5FFE8DAD">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个人：混入后</w:t>
            </w:r>
            <w:r>
              <w:rPr>
                <w:rFonts w:hint="default" w:ascii="Times New Roman" w:hAnsi="Times New Roman" w:cs="Times New Roman" w:eastAsiaTheme="minorEastAsia"/>
                <w:color w:val="auto"/>
                <w:kern w:val="0"/>
                <w:sz w:val="18"/>
                <w:szCs w:val="18"/>
                <w:highlight w:val="none"/>
                <w:lang w:eastAsia="zh-CN"/>
              </w:rPr>
              <w:t>总</w:t>
            </w:r>
            <w:r>
              <w:rPr>
                <w:rFonts w:hint="default" w:ascii="Times New Roman" w:hAnsi="Times New Roman" w:cs="Times New Roman" w:eastAsiaTheme="minorEastAsia"/>
                <w:color w:val="auto"/>
                <w:kern w:val="0"/>
                <w:sz w:val="18"/>
                <w:szCs w:val="18"/>
                <w:highlight w:val="none"/>
              </w:rPr>
              <w:t>体积</w:t>
            </w:r>
            <w:r>
              <w:rPr>
                <w:rFonts w:hint="default" w:ascii="Times New Roman" w:hAnsi="Times New Roman" w:cs="Times New Roman" w:eastAsiaTheme="minorEastAsia"/>
                <w:color w:val="auto"/>
                <w:kern w:val="0"/>
                <w:sz w:val="18"/>
                <w:szCs w:val="18"/>
                <w:highlight w:val="none"/>
                <w:lang w:val="en-US" w:eastAsia="zh-CN"/>
              </w:rPr>
              <w:t>3</w:t>
            </w:r>
            <w:r>
              <w:rPr>
                <w:rFonts w:hint="default" w:ascii="Times New Roman" w:hAnsi="Times New Roman" w:cs="Times New Roman" w:eastAsiaTheme="minorEastAsia"/>
                <w:color w:val="auto"/>
                <w:kern w:val="0"/>
                <w:sz w:val="18"/>
                <w:szCs w:val="18"/>
                <w:highlight w:val="none"/>
              </w:rPr>
              <w:t>立方米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5立方米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1DCD564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给予警告，对单位处</w:t>
            </w:r>
            <w:r>
              <w:rPr>
                <w:rFonts w:hint="default" w:ascii="Times New Roman" w:hAnsi="Times New Roman" w:cs="Times New Roman" w:eastAsiaTheme="minorEastAsia"/>
                <w:color w:val="auto"/>
                <w:kern w:val="0"/>
                <w:sz w:val="18"/>
                <w:szCs w:val="18"/>
                <w:highlight w:val="none"/>
                <w:lang w:val="en-US" w:eastAsia="zh-CN"/>
              </w:rPr>
              <w:t>900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2100</w:t>
            </w:r>
            <w:r>
              <w:rPr>
                <w:rFonts w:hint="default" w:ascii="Times New Roman" w:hAnsi="Times New Roman" w:cs="Times New Roman" w:eastAsiaTheme="minorEastAsia"/>
                <w:color w:val="auto"/>
                <w:kern w:val="0"/>
                <w:sz w:val="18"/>
                <w:szCs w:val="18"/>
                <w:highlight w:val="none"/>
              </w:rPr>
              <w:t>元以下罚款，对个人处</w:t>
            </w:r>
            <w:r>
              <w:rPr>
                <w:rFonts w:hint="default" w:ascii="Times New Roman" w:hAnsi="Times New Roman" w:cs="Times New Roman" w:eastAsiaTheme="minorEastAsia"/>
                <w:color w:val="auto"/>
                <w:kern w:val="0"/>
                <w:sz w:val="18"/>
                <w:szCs w:val="18"/>
                <w:highlight w:val="none"/>
                <w:lang w:val="en-US" w:eastAsia="zh-CN"/>
              </w:rPr>
              <w:t>60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140</w:t>
            </w:r>
            <w:r>
              <w:rPr>
                <w:rFonts w:hint="default" w:ascii="Times New Roman" w:hAnsi="Times New Roman" w:cs="Times New Roman" w:eastAsiaTheme="minorEastAsia"/>
                <w:color w:val="auto"/>
                <w:kern w:val="0"/>
                <w:sz w:val="18"/>
                <w:szCs w:val="18"/>
                <w:highlight w:val="none"/>
              </w:rPr>
              <w:t>元以下罚款</w:t>
            </w:r>
          </w:p>
        </w:tc>
        <w:tc>
          <w:tcPr>
            <w:tcW w:w="200" w:type="pct"/>
            <w:gridSpan w:val="2"/>
            <w:vMerge w:val="continue"/>
            <w:shd w:val="clear" w:color="auto" w:fill="auto"/>
            <w:tcMar>
              <w:top w:w="15" w:type="dxa"/>
              <w:left w:w="15" w:type="dxa"/>
              <w:right w:w="15" w:type="dxa"/>
            </w:tcMar>
            <w:vAlign w:val="center"/>
          </w:tcPr>
          <w:p w14:paraId="1622A1CF">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6F55153F">
            <w:pPr>
              <w:shd w:val="clear"/>
              <w:rPr>
                <w:rFonts w:hint="default" w:ascii="Times New Roman" w:hAnsi="Times New Roman" w:cs="Times New Roman" w:eastAsiaTheme="minorEastAsia"/>
                <w:color w:val="auto"/>
                <w:sz w:val="18"/>
                <w:szCs w:val="18"/>
                <w:highlight w:val="none"/>
              </w:rPr>
            </w:pPr>
          </w:p>
        </w:tc>
      </w:tr>
      <w:tr w14:paraId="213C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0" w:hRule="atLeast"/>
        </w:trPr>
        <w:tc>
          <w:tcPr>
            <w:tcW w:w="117" w:type="pct"/>
            <w:gridSpan w:val="2"/>
            <w:vMerge w:val="continue"/>
            <w:shd w:val="clear" w:color="auto" w:fill="auto"/>
            <w:tcMar>
              <w:top w:w="15" w:type="dxa"/>
              <w:left w:w="15" w:type="dxa"/>
              <w:right w:w="15" w:type="dxa"/>
            </w:tcMar>
            <w:vAlign w:val="center"/>
          </w:tcPr>
          <w:p w14:paraId="3CD160D4">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2A9930D1">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7F46DA6A">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036F6D07">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30D78E90">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4326D9AE">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单位：混入后</w:t>
            </w:r>
            <w:r>
              <w:rPr>
                <w:rFonts w:hint="default" w:ascii="Times New Roman" w:hAnsi="Times New Roman" w:cs="Times New Roman" w:eastAsiaTheme="minorEastAsia"/>
                <w:color w:val="auto"/>
                <w:kern w:val="0"/>
                <w:sz w:val="18"/>
                <w:szCs w:val="18"/>
                <w:highlight w:val="none"/>
                <w:lang w:eastAsia="zh-CN"/>
              </w:rPr>
              <w:t>总</w:t>
            </w:r>
            <w:r>
              <w:rPr>
                <w:rFonts w:hint="default" w:ascii="Times New Roman" w:hAnsi="Times New Roman" w:cs="Times New Roman" w:eastAsiaTheme="minorEastAsia"/>
                <w:color w:val="auto"/>
                <w:kern w:val="0"/>
                <w:sz w:val="18"/>
                <w:szCs w:val="18"/>
                <w:highlight w:val="none"/>
              </w:rPr>
              <w:t>体积50立方米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w:t>
            </w:r>
          </w:p>
          <w:p w14:paraId="0277E64C">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个人：混入后</w:t>
            </w:r>
            <w:r>
              <w:rPr>
                <w:rFonts w:hint="default" w:ascii="Times New Roman" w:hAnsi="Times New Roman" w:cs="Times New Roman" w:eastAsiaTheme="minorEastAsia"/>
                <w:color w:val="auto"/>
                <w:kern w:val="0"/>
                <w:sz w:val="18"/>
                <w:szCs w:val="18"/>
                <w:highlight w:val="none"/>
                <w:lang w:eastAsia="zh-CN"/>
              </w:rPr>
              <w:t>总</w:t>
            </w:r>
            <w:r>
              <w:rPr>
                <w:rFonts w:hint="default" w:ascii="Times New Roman" w:hAnsi="Times New Roman" w:cs="Times New Roman" w:eastAsiaTheme="minorEastAsia"/>
                <w:color w:val="auto"/>
                <w:kern w:val="0"/>
                <w:sz w:val="18"/>
                <w:szCs w:val="18"/>
                <w:highlight w:val="none"/>
              </w:rPr>
              <w:t>体积5立方米</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6A1DD0C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给予警告，对单位处</w:t>
            </w:r>
            <w:r>
              <w:rPr>
                <w:rFonts w:hint="default" w:ascii="Times New Roman" w:hAnsi="Times New Roman" w:cs="Times New Roman" w:eastAsiaTheme="minorEastAsia"/>
                <w:color w:val="auto"/>
                <w:kern w:val="0"/>
                <w:sz w:val="18"/>
                <w:szCs w:val="18"/>
                <w:highlight w:val="none"/>
                <w:lang w:val="en-US" w:eastAsia="zh-CN"/>
              </w:rPr>
              <w:t>2100</w:t>
            </w:r>
            <w:r>
              <w:rPr>
                <w:rFonts w:hint="default" w:ascii="Times New Roman" w:hAnsi="Times New Roman" w:cs="Times New Roman" w:eastAsiaTheme="minorEastAsia"/>
                <w:color w:val="auto"/>
                <w:kern w:val="0"/>
                <w:sz w:val="18"/>
                <w:szCs w:val="18"/>
                <w:highlight w:val="none"/>
              </w:rPr>
              <w:t>元以上3000元以下罚款，对个人处</w:t>
            </w:r>
            <w:r>
              <w:rPr>
                <w:rFonts w:hint="default" w:ascii="Times New Roman" w:hAnsi="Times New Roman" w:cs="Times New Roman" w:eastAsiaTheme="minorEastAsia"/>
                <w:color w:val="auto"/>
                <w:kern w:val="0"/>
                <w:sz w:val="18"/>
                <w:szCs w:val="18"/>
                <w:highlight w:val="none"/>
                <w:lang w:val="en-US" w:eastAsia="zh-CN"/>
              </w:rPr>
              <w:t>140</w:t>
            </w:r>
            <w:r>
              <w:rPr>
                <w:rFonts w:hint="default" w:ascii="Times New Roman" w:hAnsi="Times New Roman" w:cs="Times New Roman" w:eastAsiaTheme="minorEastAsia"/>
                <w:color w:val="auto"/>
                <w:kern w:val="0"/>
                <w:sz w:val="18"/>
                <w:szCs w:val="18"/>
                <w:highlight w:val="none"/>
              </w:rPr>
              <w:t>元以上200元以下罚款</w:t>
            </w:r>
          </w:p>
        </w:tc>
        <w:tc>
          <w:tcPr>
            <w:tcW w:w="200" w:type="pct"/>
            <w:gridSpan w:val="2"/>
            <w:vMerge w:val="continue"/>
            <w:shd w:val="clear" w:color="auto" w:fill="auto"/>
            <w:tcMar>
              <w:top w:w="15" w:type="dxa"/>
              <w:left w:w="15" w:type="dxa"/>
              <w:right w:w="15" w:type="dxa"/>
            </w:tcMar>
            <w:vAlign w:val="center"/>
          </w:tcPr>
          <w:p w14:paraId="3EACA175">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1378B776">
            <w:pPr>
              <w:shd w:val="clear"/>
              <w:rPr>
                <w:rFonts w:hint="default" w:ascii="Times New Roman" w:hAnsi="Times New Roman" w:cs="Times New Roman" w:eastAsiaTheme="minorEastAsia"/>
                <w:color w:val="auto"/>
                <w:sz w:val="18"/>
                <w:szCs w:val="18"/>
                <w:highlight w:val="none"/>
              </w:rPr>
            </w:pPr>
          </w:p>
        </w:tc>
      </w:tr>
      <w:tr w14:paraId="3FC8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117" w:type="pct"/>
            <w:gridSpan w:val="2"/>
            <w:vMerge w:val="restart"/>
            <w:shd w:val="clear" w:color="auto" w:fill="auto"/>
            <w:tcMar>
              <w:top w:w="15" w:type="dxa"/>
              <w:left w:w="15" w:type="dxa"/>
              <w:right w:w="15" w:type="dxa"/>
            </w:tcMar>
            <w:vAlign w:val="center"/>
          </w:tcPr>
          <w:p w14:paraId="46EEE0B9">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39</w:t>
            </w:r>
          </w:p>
        </w:tc>
        <w:tc>
          <w:tcPr>
            <w:tcW w:w="411" w:type="pct"/>
            <w:gridSpan w:val="2"/>
            <w:vMerge w:val="restart"/>
            <w:shd w:val="clear" w:color="auto" w:fill="auto"/>
            <w:tcMar>
              <w:top w:w="15" w:type="dxa"/>
              <w:left w:w="15" w:type="dxa"/>
              <w:right w:w="15" w:type="dxa"/>
            </w:tcMar>
            <w:vAlign w:val="center"/>
          </w:tcPr>
          <w:p w14:paraId="681DF30D">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将危险废物混入建筑垃圾</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58FBC096">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《城市建筑垃圾管理规定》第九条：“任何单位和个人不得将建筑垃圾混入生活垃圾，不得将危险废物混入建筑垃圾，不得擅自设立弃置场受纳建筑垃圾。”</w:t>
            </w:r>
          </w:p>
        </w:tc>
        <w:tc>
          <w:tcPr>
            <w:tcW w:w="1314" w:type="pct"/>
            <w:gridSpan w:val="2"/>
            <w:vMerge w:val="restart"/>
            <w:shd w:val="clear" w:color="auto" w:fill="auto"/>
            <w:tcMar>
              <w:top w:w="15" w:type="dxa"/>
              <w:left w:w="15" w:type="dxa"/>
              <w:right w:w="15" w:type="dxa"/>
            </w:tcMar>
            <w:vAlign w:val="center"/>
          </w:tcPr>
          <w:p w14:paraId="27FDADF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建筑垃圾管理规定》第二十条：“任何单位和个人有下列情形之一的，由城市人民政府市容环境卫生主管部门责令限期改正，给予警告，处以罚款：（二）将危险废物混入建筑垃圾的；”“单位有前款第一项、第二项行为之一的，处3000元以下罚款；......。个人有前款第一项、第二项行为之一的，处200元以下罚款；......。”</w:t>
            </w:r>
          </w:p>
        </w:tc>
        <w:tc>
          <w:tcPr>
            <w:tcW w:w="177" w:type="pct"/>
            <w:gridSpan w:val="2"/>
            <w:shd w:val="clear" w:color="auto" w:fill="auto"/>
            <w:tcMar>
              <w:top w:w="15" w:type="dxa"/>
              <w:left w:w="15" w:type="dxa"/>
              <w:right w:w="15" w:type="dxa"/>
            </w:tcMar>
            <w:vAlign w:val="center"/>
          </w:tcPr>
          <w:p w14:paraId="47307D70">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48846B96">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单位：混入后</w:t>
            </w:r>
            <w:r>
              <w:rPr>
                <w:rFonts w:hint="default" w:ascii="Times New Roman" w:hAnsi="Times New Roman" w:cs="Times New Roman" w:eastAsiaTheme="minorEastAsia"/>
                <w:color w:val="auto"/>
                <w:kern w:val="0"/>
                <w:sz w:val="18"/>
                <w:szCs w:val="18"/>
                <w:highlight w:val="none"/>
                <w:lang w:eastAsia="zh-CN"/>
              </w:rPr>
              <w:t>总</w:t>
            </w:r>
            <w:r>
              <w:rPr>
                <w:rFonts w:hint="default" w:ascii="Times New Roman" w:hAnsi="Times New Roman" w:cs="Times New Roman" w:eastAsiaTheme="minorEastAsia"/>
                <w:color w:val="auto"/>
                <w:kern w:val="0"/>
                <w:sz w:val="18"/>
                <w:szCs w:val="18"/>
                <w:highlight w:val="none"/>
              </w:rPr>
              <w:t>体积5立方米</w:t>
            </w:r>
            <w:r>
              <w:rPr>
                <w:rFonts w:hint="default" w:ascii="Times New Roman" w:hAnsi="Times New Roman" w:cs="Times New Roman" w:eastAsiaTheme="minorEastAsia"/>
                <w:color w:val="auto"/>
                <w:kern w:val="0"/>
                <w:sz w:val="18"/>
                <w:szCs w:val="18"/>
                <w:highlight w:val="none"/>
                <w:lang w:eastAsia="zh-CN"/>
              </w:rPr>
              <w:t>以下；</w:t>
            </w:r>
          </w:p>
          <w:p w14:paraId="3392468D">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个人：混入后</w:t>
            </w:r>
            <w:r>
              <w:rPr>
                <w:rFonts w:hint="default" w:ascii="Times New Roman" w:hAnsi="Times New Roman" w:cs="Times New Roman" w:eastAsiaTheme="minorEastAsia"/>
                <w:color w:val="auto"/>
                <w:kern w:val="0"/>
                <w:sz w:val="18"/>
                <w:szCs w:val="18"/>
                <w:highlight w:val="none"/>
                <w:lang w:eastAsia="zh-CN"/>
              </w:rPr>
              <w:t>总</w:t>
            </w:r>
            <w:r>
              <w:rPr>
                <w:rFonts w:hint="default" w:ascii="Times New Roman" w:hAnsi="Times New Roman" w:cs="Times New Roman" w:eastAsiaTheme="minorEastAsia"/>
                <w:color w:val="auto"/>
                <w:kern w:val="0"/>
                <w:sz w:val="18"/>
                <w:szCs w:val="18"/>
                <w:highlight w:val="none"/>
              </w:rPr>
              <w:t>体积</w:t>
            </w:r>
            <w:r>
              <w:rPr>
                <w:rFonts w:hint="default" w:ascii="Times New Roman" w:hAnsi="Times New Roman" w:cs="Times New Roman" w:eastAsiaTheme="minorEastAsia"/>
                <w:color w:val="auto"/>
                <w:kern w:val="0"/>
                <w:sz w:val="18"/>
                <w:szCs w:val="18"/>
                <w:highlight w:val="none"/>
                <w:lang w:val="en-US" w:eastAsia="zh-CN"/>
              </w:rPr>
              <w:t>0.5</w:t>
            </w:r>
            <w:r>
              <w:rPr>
                <w:rFonts w:hint="default" w:ascii="Times New Roman" w:hAnsi="Times New Roman" w:cs="Times New Roman" w:eastAsiaTheme="minorEastAsia"/>
                <w:color w:val="auto"/>
                <w:kern w:val="0"/>
                <w:sz w:val="18"/>
                <w:szCs w:val="18"/>
                <w:highlight w:val="none"/>
              </w:rPr>
              <w:t>立方米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791FA23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给予警告，对单位处</w:t>
            </w:r>
            <w:r>
              <w:rPr>
                <w:rFonts w:hint="default" w:ascii="Times New Roman" w:hAnsi="Times New Roman" w:cs="Times New Roman" w:eastAsiaTheme="minorEastAsia"/>
                <w:color w:val="auto"/>
                <w:kern w:val="0"/>
                <w:sz w:val="18"/>
                <w:szCs w:val="18"/>
                <w:highlight w:val="none"/>
                <w:lang w:val="en-US" w:eastAsia="zh-CN"/>
              </w:rPr>
              <w:t>900</w:t>
            </w:r>
            <w:r>
              <w:rPr>
                <w:rFonts w:hint="default" w:ascii="Times New Roman" w:hAnsi="Times New Roman" w:cs="Times New Roman" w:eastAsiaTheme="minorEastAsia"/>
                <w:color w:val="auto"/>
                <w:kern w:val="0"/>
                <w:sz w:val="18"/>
                <w:szCs w:val="18"/>
                <w:highlight w:val="none"/>
              </w:rPr>
              <w:t>元以下罚款，对个人处</w:t>
            </w:r>
            <w:r>
              <w:rPr>
                <w:rFonts w:hint="default" w:ascii="Times New Roman" w:hAnsi="Times New Roman" w:cs="Times New Roman" w:eastAsiaTheme="minorEastAsia"/>
                <w:color w:val="auto"/>
                <w:kern w:val="0"/>
                <w:sz w:val="18"/>
                <w:szCs w:val="18"/>
                <w:highlight w:val="none"/>
                <w:lang w:val="en-US" w:eastAsia="zh-CN"/>
              </w:rPr>
              <w:t>60</w:t>
            </w:r>
            <w:r>
              <w:rPr>
                <w:rFonts w:hint="default" w:ascii="Times New Roman" w:hAnsi="Times New Roman" w:cs="Times New Roman" w:eastAsiaTheme="minorEastAsia"/>
                <w:color w:val="auto"/>
                <w:kern w:val="0"/>
                <w:sz w:val="18"/>
                <w:szCs w:val="18"/>
                <w:highlight w:val="none"/>
              </w:rPr>
              <w:t>元以下罚款</w:t>
            </w:r>
          </w:p>
        </w:tc>
        <w:tc>
          <w:tcPr>
            <w:tcW w:w="200" w:type="pct"/>
            <w:gridSpan w:val="2"/>
            <w:vMerge w:val="restart"/>
            <w:shd w:val="clear" w:color="auto" w:fill="auto"/>
            <w:tcMar>
              <w:top w:w="15" w:type="dxa"/>
              <w:left w:w="15" w:type="dxa"/>
              <w:right w:w="15" w:type="dxa"/>
            </w:tcMar>
            <w:vAlign w:val="center"/>
          </w:tcPr>
          <w:p w14:paraId="66C8F33A">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w:t>
            </w:r>
          </w:p>
          <w:p w14:paraId="00F19747">
            <w:pPr>
              <w:widowControl/>
              <w:shd w:val="clear"/>
              <w:jc w:val="left"/>
              <w:textAlignment w:val="center"/>
              <w:rPr>
                <w:rFonts w:hint="default" w:ascii="Times New Roman" w:hAnsi="Times New Roman" w:cs="Times New Roman" w:eastAsiaTheme="minorEastAsia"/>
                <w:color w:val="auto"/>
                <w:sz w:val="18"/>
                <w:szCs w:val="18"/>
                <w:highlight w:val="none"/>
              </w:rPr>
            </w:pPr>
          </w:p>
          <w:p w14:paraId="1A074F6B">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257C7CD9">
            <w:pPr>
              <w:shd w:val="clear"/>
              <w:rPr>
                <w:rFonts w:hint="default" w:ascii="Times New Roman" w:hAnsi="Times New Roman" w:cs="Times New Roman" w:eastAsiaTheme="minorEastAsia"/>
                <w:color w:val="auto"/>
                <w:sz w:val="18"/>
                <w:szCs w:val="18"/>
                <w:highlight w:val="none"/>
                <w:lang w:val="en-US" w:eastAsia="zh-CN"/>
              </w:rPr>
            </w:pPr>
          </w:p>
        </w:tc>
      </w:tr>
      <w:tr w14:paraId="6FD16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trPr>
        <w:tc>
          <w:tcPr>
            <w:tcW w:w="117" w:type="pct"/>
            <w:gridSpan w:val="2"/>
            <w:vMerge w:val="continue"/>
            <w:shd w:val="clear" w:color="auto" w:fill="auto"/>
            <w:tcMar>
              <w:top w:w="15" w:type="dxa"/>
              <w:left w:w="15" w:type="dxa"/>
              <w:right w:w="15" w:type="dxa"/>
            </w:tcMar>
            <w:vAlign w:val="center"/>
          </w:tcPr>
          <w:p w14:paraId="166D7F2D">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1F956A93">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53891D9D">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4975F31E">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42AB26F4">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3996FEEC">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单位：混入后</w:t>
            </w:r>
            <w:r>
              <w:rPr>
                <w:rFonts w:hint="default" w:ascii="Times New Roman" w:hAnsi="Times New Roman" w:cs="Times New Roman" w:eastAsiaTheme="minorEastAsia"/>
                <w:color w:val="auto"/>
                <w:kern w:val="0"/>
                <w:sz w:val="18"/>
                <w:szCs w:val="18"/>
                <w:highlight w:val="none"/>
                <w:lang w:eastAsia="zh-CN"/>
              </w:rPr>
              <w:t>总</w:t>
            </w:r>
            <w:r>
              <w:rPr>
                <w:rFonts w:hint="default" w:ascii="Times New Roman" w:hAnsi="Times New Roman" w:cs="Times New Roman" w:eastAsiaTheme="minorEastAsia"/>
                <w:color w:val="auto"/>
                <w:kern w:val="0"/>
                <w:sz w:val="18"/>
                <w:szCs w:val="18"/>
                <w:highlight w:val="none"/>
              </w:rPr>
              <w:t>体积5立方米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10立方米</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rPr>
              <w:t>；</w:t>
            </w:r>
          </w:p>
          <w:p w14:paraId="0E3C2AB0">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个人：混入后</w:t>
            </w:r>
            <w:r>
              <w:rPr>
                <w:rFonts w:hint="default" w:ascii="Times New Roman" w:hAnsi="Times New Roman" w:cs="Times New Roman" w:eastAsiaTheme="minorEastAsia"/>
                <w:color w:val="auto"/>
                <w:kern w:val="0"/>
                <w:sz w:val="18"/>
                <w:szCs w:val="18"/>
                <w:highlight w:val="none"/>
                <w:lang w:eastAsia="zh-CN"/>
              </w:rPr>
              <w:t>总</w:t>
            </w:r>
            <w:r>
              <w:rPr>
                <w:rFonts w:hint="default" w:ascii="Times New Roman" w:hAnsi="Times New Roman" w:cs="Times New Roman" w:eastAsiaTheme="minorEastAsia"/>
                <w:color w:val="auto"/>
                <w:kern w:val="0"/>
                <w:sz w:val="18"/>
                <w:szCs w:val="18"/>
                <w:highlight w:val="none"/>
              </w:rPr>
              <w:t>体积</w:t>
            </w:r>
            <w:r>
              <w:rPr>
                <w:rFonts w:hint="default" w:ascii="Times New Roman" w:hAnsi="Times New Roman" w:cs="Times New Roman" w:eastAsiaTheme="minorEastAsia"/>
                <w:color w:val="auto"/>
                <w:kern w:val="0"/>
                <w:sz w:val="18"/>
                <w:szCs w:val="18"/>
                <w:highlight w:val="none"/>
                <w:lang w:val="en-US" w:eastAsia="zh-CN"/>
              </w:rPr>
              <w:t>0.5</w:t>
            </w:r>
            <w:r>
              <w:rPr>
                <w:rFonts w:hint="default" w:ascii="Times New Roman" w:hAnsi="Times New Roman" w:cs="Times New Roman" w:eastAsiaTheme="minorEastAsia"/>
                <w:color w:val="auto"/>
                <w:kern w:val="0"/>
                <w:sz w:val="18"/>
                <w:szCs w:val="18"/>
                <w:highlight w:val="none"/>
              </w:rPr>
              <w:t>立方米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lang w:val="en-US" w:eastAsia="zh-CN"/>
              </w:rPr>
              <w:t>1</w:t>
            </w:r>
            <w:r>
              <w:rPr>
                <w:rFonts w:hint="default" w:ascii="Times New Roman" w:hAnsi="Times New Roman" w:cs="Times New Roman" w:eastAsiaTheme="minorEastAsia"/>
                <w:color w:val="auto"/>
                <w:kern w:val="0"/>
                <w:sz w:val="18"/>
                <w:szCs w:val="18"/>
                <w:highlight w:val="none"/>
              </w:rPr>
              <w:t>立方米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0151842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给予警告，对单位处</w:t>
            </w:r>
            <w:r>
              <w:rPr>
                <w:rFonts w:hint="default" w:ascii="Times New Roman" w:hAnsi="Times New Roman" w:cs="Times New Roman" w:eastAsiaTheme="minorEastAsia"/>
                <w:color w:val="auto"/>
                <w:kern w:val="0"/>
                <w:sz w:val="18"/>
                <w:szCs w:val="18"/>
                <w:highlight w:val="none"/>
                <w:lang w:val="en-US" w:eastAsia="zh-CN"/>
              </w:rPr>
              <w:t>900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2100</w:t>
            </w:r>
            <w:r>
              <w:rPr>
                <w:rFonts w:hint="default" w:ascii="Times New Roman" w:hAnsi="Times New Roman" w:cs="Times New Roman" w:eastAsiaTheme="minorEastAsia"/>
                <w:color w:val="auto"/>
                <w:kern w:val="0"/>
                <w:sz w:val="18"/>
                <w:szCs w:val="18"/>
                <w:highlight w:val="none"/>
              </w:rPr>
              <w:t>元以下罚款，对个人处</w:t>
            </w:r>
            <w:r>
              <w:rPr>
                <w:rFonts w:hint="default" w:ascii="Times New Roman" w:hAnsi="Times New Roman" w:cs="Times New Roman" w:eastAsiaTheme="minorEastAsia"/>
                <w:color w:val="auto"/>
                <w:kern w:val="0"/>
                <w:sz w:val="18"/>
                <w:szCs w:val="18"/>
                <w:highlight w:val="none"/>
                <w:lang w:val="en-US" w:eastAsia="zh-CN"/>
              </w:rPr>
              <w:t>60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140</w:t>
            </w:r>
            <w:r>
              <w:rPr>
                <w:rFonts w:hint="default" w:ascii="Times New Roman" w:hAnsi="Times New Roman" w:cs="Times New Roman" w:eastAsiaTheme="minorEastAsia"/>
                <w:color w:val="auto"/>
                <w:kern w:val="0"/>
                <w:sz w:val="18"/>
                <w:szCs w:val="18"/>
                <w:highlight w:val="none"/>
              </w:rPr>
              <w:t>元以下罚款</w:t>
            </w:r>
          </w:p>
        </w:tc>
        <w:tc>
          <w:tcPr>
            <w:tcW w:w="200" w:type="pct"/>
            <w:gridSpan w:val="2"/>
            <w:vMerge w:val="continue"/>
            <w:shd w:val="clear" w:color="auto" w:fill="auto"/>
            <w:tcMar>
              <w:top w:w="15" w:type="dxa"/>
              <w:left w:w="15" w:type="dxa"/>
              <w:right w:w="15" w:type="dxa"/>
            </w:tcMar>
            <w:vAlign w:val="center"/>
          </w:tcPr>
          <w:p w14:paraId="34C89284">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7A80BE6A">
            <w:pPr>
              <w:shd w:val="clear"/>
              <w:rPr>
                <w:rFonts w:hint="default" w:ascii="Times New Roman" w:hAnsi="Times New Roman" w:cs="Times New Roman" w:eastAsiaTheme="minorEastAsia"/>
                <w:color w:val="auto"/>
                <w:sz w:val="18"/>
                <w:szCs w:val="18"/>
                <w:highlight w:val="none"/>
              </w:rPr>
            </w:pPr>
          </w:p>
        </w:tc>
      </w:tr>
      <w:tr w14:paraId="2E43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trPr>
        <w:tc>
          <w:tcPr>
            <w:tcW w:w="117" w:type="pct"/>
            <w:gridSpan w:val="2"/>
            <w:vMerge w:val="continue"/>
            <w:shd w:val="clear" w:color="auto" w:fill="auto"/>
            <w:tcMar>
              <w:top w:w="15" w:type="dxa"/>
              <w:left w:w="15" w:type="dxa"/>
              <w:right w:w="15" w:type="dxa"/>
            </w:tcMar>
            <w:vAlign w:val="center"/>
          </w:tcPr>
          <w:p w14:paraId="18FE5425">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41B79D80">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A158784">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5AC9B367">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749DE496">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2D26248B">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单位：混入后</w:t>
            </w:r>
            <w:r>
              <w:rPr>
                <w:rFonts w:hint="default" w:ascii="Times New Roman" w:hAnsi="Times New Roman" w:cs="Times New Roman" w:eastAsiaTheme="minorEastAsia"/>
                <w:color w:val="auto"/>
                <w:kern w:val="0"/>
                <w:sz w:val="18"/>
                <w:szCs w:val="18"/>
                <w:highlight w:val="none"/>
                <w:lang w:eastAsia="zh-CN"/>
              </w:rPr>
              <w:t>总</w:t>
            </w:r>
            <w:r>
              <w:rPr>
                <w:rFonts w:hint="default" w:ascii="Times New Roman" w:hAnsi="Times New Roman" w:cs="Times New Roman" w:eastAsiaTheme="minorEastAsia"/>
                <w:color w:val="auto"/>
                <w:kern w:val="0"/>
                <w:sz w:val="18"/>
                <w:szCs w:val="18"/>
                <w:highlight w:val="none"/>
              </w:rPr>
              <w:t>体积10立方米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w:t>
            </w:r>
          </w:p>
          <w:p w14:paraId="20E14023">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个人：混入后</w:t>
            </w:r>
            <w:r>
              <w:rPr>
                <w:rFonts w:hint="default" w:ascii="Times New Roman" w:hAnsi="Times New Roman" w:cs="Times New Roman" w:eastAsiaTheme="minorEastAsia"/>
                <w:color w:val="auto"/>
                <w:kern w:val="0"/>
                <w:sz w:val="18"/>
                <w:szCs w:val="18"/>
                <w:highlight w:val="none"/>
                <w:lang w:eastAsia="zh-CN"/>
              </w:rPr>
              <w:t>总</w:t>
            </w:r>
            <w:r>
              <w:rPr>
                <w:rFonts w:hint="default" w:ascii="Times New Roman" w:hAnsi="Times New Roman" w:cs="Times New Roman" w:eastAsiaTheme="minorEastAsia"/>
                <w:color w:val="auto"/>
                <w:kern w:val="0"/>
                <w:sz w:val="18"/>
                <w:szCs w:val="18"/>
                <w:highlight w:val="none"/>
              </w:rPr>
              <w:t>体积1立方米</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5E793F1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给予警告，对单位处</w:t>
            </w:r>
            <w:r>
              <w:rPr>
                <w:rFonts w:hint="default" w:ascii="Times New Roman" w:hAnsi="Times New Roman" w:cs="Times New Roman" w:eastAsiaTheme="minorEastAsia"/>
                <w:color w:val="auto"/>
                <w:kern w:val="0"/>
                <w:sz w:val="18"/>
                <w:szCs w:val="18"/>
                <w:highlight w:val="none"/>
                <w:lang w:val="en-US" w:eastAsia="zh-CN"/>
              </w:rPr>
              <w:t>2100</w:t>
            </w:r>
            <w:r>
              <w:rPr>
                <w:rFonts w:hint="default" w:ascii="Times New Roman" w:hAnsi="Times New Roman" w:cs="Times New Roman" w:eastAsiaTheme="minorEastAsia"/>
                <w:color w:val="auto"/>
                <w:kern w:val="0"/>
                <w:sz w:val="18"/>
                <w:szCs w:val="18"/>
                <w:highlight w:val="none"/>
              </w:rPr>
              <w:t>元以上3000元以下罚款，对个人处</w:t>
            </w:r>
            <w:r>
              <w:rPr>
                <w:rFonts w:hint="default" w:ascii="Times New Roman" w:hAnsi="Times New Roman" w:cs="Times New Roman" w:eastAsiaTheme="minorEastAsia"/>
                <w:color w:val="auto"/>
                <w:kern w:val="0"/>
                <w:sz w:val="18"/>
                <w:szCs w:val="18"/>
                <w:highlight w:val="none"/>
                <w:lang w:val="en-US" w:eastAsia="zh-CN"/>
              </w:rPr>
              <w:t>140</w:t>
            </w:r>
            <w:r>
              <w:rPr>
                <w:rFonts w:hint="default" w:ascii="Times New Roman" w:hAnsi="Times New Roman" w:cs="Times New Roman" w:eastAsiaTheme="minorEastAsia"/>
                <w:color w:val="auto"/>
                <w:kern w:val="0"/>
                <w:sz w:val="18"/>
                <w:szCs w:val="18"/>
                <w:highlight w:val="none"/>
              </w:rPr>
              <w:t>元以上200元以下罚款</w:t>
            </w:r>
          </w:p>
        </w:tc>
        <w:tc>
          <w:tcPr>
            <w:tcW w:w="200" w:type="pct"/>
            <w:gridSpan w:val="2"/>
            <w:vMerge w:val="continue"/>
            <w:shd w:val="clear" w:color="auto" w:fill="auto"/>
            <w:tcMar>
              <w:top w:w="15" w:type="dxa"/>
              <w:left w:w="15" w:type="dxa"/>
              <w:right w:w="15" w:type="dxa"/>
            </w:tcMar>
            <w:vAlign w:val="center"/>
          </w:tcPr>
          <w:p w14:paraId="62509975">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2046BDD0">
            <w:pPr>
              <w:shd w:val="clear"/>
              <w:rPr>
                <w:rFonts w:hint="default" w:ascii="Times New Roman" w:hAnsi="Times New Roman" w:cs="Times New Roman" w:eastAsiaTheme="minorEastAsia"/>
                <w:color w:val="auto"/>
                <w:sz w:val="18"/>
                <w:szCs w:val="18"/>
                <w:highlight w:val="none"/>
              </w:rPr>
            </w:pPr>
          </w:p>
        </w:tc>
      </w:tr>
      <w:tr w14:paraId="089B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trPr>
        <w:tc>
          <w:tcPr>
            <w:tcW w:w="117" w:type="pct"/>
            <w:gridSpan w:val="2"/>
            <w:vMerge w:val="restart"/>
            <w:shd w:val="clear" w:color="auto" w:fill="auto"/>
            <w:tcMar>
              <w:top w:w="15" w:type="dxa"/>
              <w:left w:w="15" w:type="dxa"/>
              <w:right w:w="15" w:type="dxa"/>
            </w:tcMar>
            <w:vAlign w:val="center"/>
          </w:tcPr>
          <w:p w14:paraId="14C692F8">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40</w:t>
            </w:r>
          </w:p>
        </w:tc>
        <w:tc>
          <w:tcPr>
            <w:tcW w:w="411" w:type="pct"/>
            <w:gridSpan w:val="2"/>
            <w:vMerge w:val="restart"/>
            <w:shd w:val="clear" w:color="auto" w:fill="auto"/>
            <w:tcMar>
              <w:top w:w="15" w:type="dxa"/>
              <w:left w:w="15" w:type="dxa"/>
              <w:right w:w="15" w:type="dxa"/>
            </w:tcMar>
            <w:vAlign w:val="center"/>
          </w:tcPr>
          <w:p w14:paraId="368E6E84">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擅自设立弃置场受纳建筑垃圾</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5ABEA54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《城市建筑垃圾管理规定》第九条：“任何单位和个人不得将建筑垃圾混入生活垃圾，不得将危险废物混入建筑垃圾，不得擅自设立弃置场受纳建筑垃圾。”</w:t>
            </w:r>
          </w:p>
        </w:tc>
        <w:tc>
          <w:tcPr>
            <w:tcW w:w="1314" w:type="pct"/>
            <w:gridSpan w:val="2"/>
            <w:vMerge w:val="restart"/>
            <w:shd w:val="clear" w:color="auto" w:fill="auto"/>
            <w:tcMar>
              <w:top w:w="15" w:type="dxa"/>
              <w:left w:w="15" w:type="dxa"/>
              <w:right w:w="15" w:type="dxa"/>
            </w:tcMar>
            <w:vAlign w:val="center"/>
          </w:tcPr>
          <w:p w14:paraId="5023E83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建筑垃圾管理规定》第二十条：“任何单位和个人有下列情形之一的，由城市人民政府市容环境卫生主管部门责令限期改正，给予警告，处以罚款：（三）擅自设立弃置场受纳建筑垃圾的；”“单位……有前款第三项行为的，处5000元以上1万元以下罚款。个人……有前款第三项行为的，处3000元以下罚款。”</w:t>
            </w:r>
          </w:p>
        </w:tc>
        <w:tc>
          <w:tcPr>
            <w:tcW w:w="177" w:type="pct"/>
            <w:gridSpan w:val="2"/>
            <w:shd w:val="clear" w:color="auto" w:fill="auto"/>
            <w:tcMar>
              <w:top w:w="15" w:type="dxa"/>
              <w:left w:w="15" w:type="dxa"/>
              <w:right w:w="15" w:type="dxa"/>
            </w:tcMar>
            <w:vAlign w:val="center"/>
          </w:tcPr>
          <w:p w14:paraId="371D65B9">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621121D7">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受纳10立方米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62D26BC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给予警告，对单位处5000元以上6500元以下罚款，对个人处</w:t>
            </w:r>
            <w:r>
              <w:rPr>
                <w:rFonts w:hint="default" w:ascii="Times New Roman" w:hAnsi="Times New Roman" w:cs="Times New Roman" w:eastAsiaTheme="minorEastAsia"/>
                <w:color w:val="auto"/>
                <w:kern w:val="0"/>
                <w:sz w:val="18"/>
                <w:szCs w:val="18"/>
                <w:highlight w:val="none"/>
                <w:lang w:val="en-US" w:eastAsia="zh-CN"/>
              </w:rPr>
              <w:t>900</w:t>
            </w:r>
            <w:r>
              <w:rPr>
                <w:rFonts w:hint="default" w:ascii="Times New Roman" w:hAnsi="Times New Roman" w:cs="Times New Roman" w:eastAsiaTheme="minorEastAsia"/>
                <w:color w:val="auto"/>
                <w:kern w:val="0"/>
                <w:sz w:val="18"/>
                <w:szCs w:val="18"/>
                <w:highlight w:val="none"/>
              </w:rPr>
              <w:t>元以下罚款</w:t>
            </w:r>
          </w:p>
        </w:tc>
        <w:tc>
          <w:tcPr>
            <w:tcW w:w="200" w:type="pct"/>
            <w:gridSpan w:val="2"/>
            <w:vMerge w:val="restart"/>
            <w:shd w:val="clear" w:color="auto" w:fill="auto"/>
            <w:tcMar>
              <w:top w:w="15" w:type="dxa"/>
              <w:left w:w="15" w:type="dxa"/>
              <w:right w:w="15" w:type="dxa"/>
            </w:tcMar>
            <w:vAlign w:val="center"/>
          </w:tcPr>
          <w:p w14:paraId="2614A1CB">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w:t>
            </w:r>
          </w:p>
          <w:p w14:paraId="315260FE">
            <w:pPr>
              <w:widowControl/>
              <w:shd w:val="clear"/>
              <w:jc w:val="left"/>
              <w:textAlignment w:val="center"/>
              <w:rPr>
                <w:rFonts w:hint="default" w:ascii="Times New Roman" w:hAnsi="Times New Roman" w:cs="Times New Roman" w:eastAsiaTheme="minorEastAsia"/>
                <w:color w:val="auto"/>
                <w:sz w:val="18"/>
                <w:szCs w:val="18"/>
                <w:highlight w:val="none"/>
              </w:rPr>
            </w:pPr>
          </w:p>
          <w:p w14:paraId="192FD907">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61E10A31">
            <w:pPr>
              <w:shd w:val="clear"/>
              <w:rPr>
                <w:rFonts w:hint="default" w:ascii="Times New Roman" w:hAnsi="Times New Roman" w:cs="Times New Roman" w:eastAsiaTheme="minorEastAsia"/>
                <w:color w:val="auto"/>
                <w:sz w:val="18"/>
                <w:szCs w:val="18"/>
                <w:highlight w:val="none"/>
                <w:lang w:val="en-US" w:eastAsia="zh-CN"/>
              </w:rPr>
            </w:pPr>
          </w:p>
        </w:tc>
      </w:tr>
      <w:tr w14:paraId="37A6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trPr>
        <w:tc>
          <w:tcPr>
            <w:tcW w:w="117" w:type="pct"/>
            <w:gridSpan w:val="2"/>
            <w:vMerge w:val="continue"/>
            <w:shd w:val="clear" w:color="auto" w:fill="auto"/>
            <w:tcMar>
              <w:top w:w="15" w:type="dxa"/>
              <w:left w:w="15" w:type="dxa"/>
              <w:right w:w="15" w:type="dxa"/>
            </w:tcMar>
            <w:vAlign w:val="center"/>
          </w:tcPr>
          <w:p w14:paraId="155179C4">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0057A3FD">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642145F2">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6F6460BD">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086B87F6">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34C81E7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受纳10立方米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20立方米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5A38F91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给予警告，对单位处6500元以上8500元以下罚款，对个人处</w:t>
            </w:r>
            <w:r>
              <w:rPr>
                <w:rFonts w:hint="default" w:ascii="Times New Roman" w:hAnsi="Times New Roman" w:cs="Times New Roman" w:eastAsiaTheme="minorEastAsia"/>
                <w:color w:val="auto"/>
                <w:kern w:val="0"/>
                <w:sz w:val="18"/>
                <w:szCs w:val="18"/>
                <w:highlight w:val="none"/>
                <w:lang w:val="en-US" w:eastAsia="zh-CN"/>
              </w:rPr>
              <w:t>900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2100</w:t>
            </w:r>
            <w:r>
              <w:rPr>
                <w:rFonts w:hint="default" w:ascii="Times New Roman" w:hAnsi="Times New Roman" w:cs="Times New Roman" w:eastAsiaTheme="minorEastAsia"/>
                <w:color w:val="auto"/>
                <w:kern w:val="0"/>
                <w:sz w:val="18"/>
                <w:szCs w:val="18"/>
                <w:highlight w:val="none"/>
              </w:rPr>
              <w:t>元以下罚款</w:t>
            </w:r>
          </w:p>
        </w:tc>
        <w:tc>
          <w:tcPr>
            <w:tcW w:w="200" w:type="pct"/>
            <w:gridSpan w:val="2"/>
            <w:vMerge w:val="continue"/>
            <w:shd w:val="clear" w:color="auto" w:fill="auto"/>
            <w:tcMar>
              <w:top w:w="15" w:type="dxa"/>
              <w:left w:w="15" w:type="dxa"/>
              <w:right w:w="15" w:type="dxa"/>
            </w:tcMar>
            <w:vAlign w:val="center"/>
          </w:tcPr>
          <w:p w14:paraId="7D7226CA">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4B248FDB">
            <w:pPr>
              <w:shd w:val="clear"/>
              <w:rPr>
                <w:rFonts w:hint="default" w:ascii="Times New Roman" w:hAnsi="Times New Roman" w:cs="Times New Roman" w:eastAsiaTheme="minorEastAsia"/>
                <w:color w:val="auto"/>
                <w:sz w:val="18"/>
                <w:szCs w:val="18"/>
                <w:highlight w:val="none"/>
              </w:rPr>
            </w:pPr>
          </w:p>
        </w:tc>
      </w:tr>
      <w:tr w14:paraId="0BE3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trPr>
        <w:tc>
          <w:tcPr>
            <w:tcW w:w="117" w:type="pct"/>
            <w:gridSpan w:val="2"/>
            <w:vMerge w:val="continue"/>
            <w:shd w:val="clear" w:color="auto" w:fill="auto"/>
            <w:tcMar>
              <w:top w:w="15" w:type="dxa"/>
              <w:left w:w="15" w:type="dxa"/>
              <w:right w:w="15" w:type="dxa"/>
            </w:tcMar>
            <w:vAlign w:val="center"/>
          </w:tcPr>
          <w:p w14:paraId="6F49074F">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22E779C8">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2E6B3F78">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21D6327C">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713B3299">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5EFF6DA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受纳20立方米</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0E1E2D0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给予警告，对单位处8500元以上</w:t>
            </w:r>
            <w:r>
              <w:rPr>
                <w:rFonts w:hint="default" w:ascii="Times New Roman" w:hAnsi="Times New Roman" w:cs="Times New Roman" w:eastAsiaTheme="minorEastAsia"/>
                <w:color w:val="auto"/>
                <w:kern w:val="0"/>
                <w:sz w:val="18"/>
                <w:szCs w:val="18"/>
                <w:highlight w:val="none"/>
                <w:lang w:val="en-US"/>
              </w:rPr>
              <w:t>1万</w:t>
            </w:r>
            <w:r>
              <w:rPr>
                <w:rFonts w:hint="default" w:ascii="Times New Roman" w:hAnsi="Times New Roman" w:cs="Times New Roman" w:eastAsiaTheme="minorEastAsia"/>
                <w:color w:val="auto"/>
                <w:kern w:val="0"/>
                <w:sz w:val="18"/>
                <w:szCs w:val="18"/>
                <w:highlight w:val="none"/>
              </w:rPr>
              <w:t>元以下罚款，对个人处</w:t>
            </w:r>
            <w:r>
              <w:rPr>
                <w:rFonts w:hint="default" w:ascii="Times New Roman" w:hAnsi="Times New Roman" w:cs="Times New Roman" w:eastAsiaTheme="minorEastAsia"/>
                <w:color w:val="auto"/>
                <w:kern w:val="0"/>
                <w:sz w:val="18"/>
                <w:szCs w:val="18"/>
                <w:highlight w:val="none"/>
                <w:lang w:val="en-US" w:eastAsia="zh-CN"/>
              </w:rPr>
              <w:t>2100</w:t>
            </w:r>
            <w:r>
              <w:rPr>
                <w:rFonts w:hint="default" w:ascii="Times New Roman" w:hAnsi="Times New Roman" w:cs="Times New Roman" w:eastAsiaTheme="minorEastAsia"/>
                <w:color w:val="auto"/>
                <w:kern w:val="0"/>
                <w:sz w:val="18"/>
                <w:szCs w:val="18"/>
                <w:highlight w:val="none"/>
              </w:rPr>
              <w:t>元以上3000元以下罚款</w:t>
            </w:r>
          </w:p>
        </w:tc>
        <w:tc>
          <w:tcPr>
            <w:tcW w:w="200" w:type="pct"/>
            <w:gridSpan w:val="2"/>
            <w:vMerge w:val="continue"/>
            <w:shd w:val="clear" w:color="auto" w:fill="auto"/>
            <w:tcMar>
              <w:top w:w="15" w:type="dxa"/>
              <w:left w:w="15" w:type="dxa"/>
              <w:right w:w="15" w:type="dxa"/>
            </w:tcMar>
            <w:vAlign w:val="center"/>
          </w:tcPr>
          <w:p w14:paraId="2E91F58B">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2CDBA0B2">
            <w:pPr>
              <w:shd w:val="clear"/>
              <w:rPr>
                <w:rFonts w:hint="default" w:ascii="Times New Roman" w:hAnsi="Times New Roman" w:cs="Times New Roman" w:eastAsiaTheme="minorEastAsia"/>
                <w:color w:val="auto"/>
                <w:sz w:val="18"/>
                <w:szCs w:val="18"/>
                <w:highlight w:val="none"/>
              </w:rPr>
            </w:pPr>
          </w:p>
        </w:tc>
      </w:tr>
      <w:tr w14:paraId="1BB7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117" w:type="pct"/>
            <w:gridSpan w:val="2"/>
            <w:vMerge w:val="restart"/>
            <w:shd w:val="clear" w:color="auto" w:fill="auto"/>
            <w:tcMar>
              <w:top w:w="15" w:type="dxa"/>
              <w:left w:w="15" w:type="dxa"/>
              <w:right w:w="15" w:type="dxa"/>
            </w:tcMar>
            <w:vAlign w:val="center"/>
          </w:tcPr>
          <w:p w14:paraId="559A73D3">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41</w:t>
            </w:r>
          </w:p>
        </w:tc>
        <w:tc>
          <w:tcPr>
            <w:tcW w:w="411" w:type="pct"/>
            <w:gridSpan w:val="2"/>
            <w:vMerge w:val="restart"/>
            <w:shd w:val="clear" w:color="auto" w:fill="auto"/>
            <w:tcMar>
              <w:top w:w="15" w:type="dxa"/>
              <w:left w:w="15" w:type="dxa"/>
              <w:right w:w="15" w:type="dxa"/>
            </w:tcMar>
            <w:vAlign w:val="center"/>
          </w:tcPr>
          <w:p w14:paraId="67C37D4B">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建筑垃圾储运消纳场受纳工业垃圾、生活垃圾和有毒有害垃圾</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6CAB7EBF">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《城市建筑垃圾管理规定》第十条：“建筑垃圾储运消纳场不得受纳工业垃圾、生活垃圾和有毒有害垃圾。”</w:t>
            </w:r>
          </w:p>
        </w:tc>
        <w:tc>
          <w:tcPr>
            <w:tcW w:w="1314" w:type="pct"/>
            <w:gridSpan w:val="2"/>
            <w:vMerge w:val="restart"/>
            <w:shd w:val="clear" w:color="auto" w:fill="auto"/>
            <w:tcMar>
              <w:top w:w="15" w:type="dxa"/>
              <w:left w:w="15" w:type="dxa"/>
              <w:right w:w="15" w:type="dxa"/>
            </w:tcMar>
            <w:vAlign w:val="center"/>
          </w:tcPr>
          <w:p w14:paraId="199B7F3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《城市建筑垃圾管理规定》第二十一条：“建筑垃圾储运消纳场受纳工业垃圾、生活垃圾和有毒有害垃圾的，由城市人民政府市容环境卫生主管部门责令限期改正，给予警告，处5000元以上1万元以下罚款。”</w:t>
            </w:r>
          </w:p>
        </w:tc>
        <w:tc>
          <w:tcPr>
            <w:tcW w:w="177" w:type="pct"/>
            <w:gridSpan w:val="2"/>
            <w:shd w:val="clear" w:color="auto" w:fill="auto"/>
            <w:tcMar>
              <w:top w:w="15" w:type="dxa"/>
              <w:left w:w="15" w:type="dxa"/>
              <w:right w:w="15" w:type="dxa"/>
            </w:tcMar>
            <w:vAlign w:val="center"/>
          </w:tcPr>
          <w:p w14:paraId="67701AD9">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5395BABF">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受纳</w:t>
            </w:r>
            <w:r>
              <w:rPr>
                <w:rFonts w:hint="default" w:ascii="Times New Roman" w:hAnsi="Times New Roman" w:cs="Times New Roman" w:eastAsiaTheme="minorEastAsia"/>
                <w:color w:val="auto"/>
                <w:kern w:val="0"/>
                <w:sz w:val="18"/>
                <w:szCs w:val="18"/>
                <w:highlight w:val="none"/>
                <w:lang w:eastAsia="zh-CN"/>
              </w:rPr>
              <w:t>10立方米以下</w:t>
            </w:r>
          </w:p>
        </w:tc>
        <w:tc>
          <w:tcPr>
            <w:tcW w:w="545" w:type="pct"/>
            <w:gridSpan w:val="2"/>
            <w:shd w:val="clear" w:color="auto" w:fill="auto"/>
            <w:tcMar>
              <w:top w:w="15" w:type="dxa"/>
              <w:left w:w="15" w:type="dxa"/>
              <w:right w:w="15" w:type="dxa"/>
            </w:tcMar>
            <w:vAlign w:val="center"/>
          </w:tcPr>
          <w:p w14:paraId="6099133A">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给予警告，处5000元以上6500元以下罚款</w:t>
            </w:r>
          </w:p>
        </w:tc>
        <w:tc>
          <w:tcPr>
            <w:tcW w:w="200" w:type="pct"/>
            <w:gridSpan w:val="2"/>
            <w:vMerge w:val="restart"/>
            <w:shd w:val="clear" w:color="auto" w:fill="auto"/>
            <w:tcMar>
              <w:top w:w="15" w:type="dxa"/>
              <w:left w:w="15" w:type="dxa"/>
              <w:right w:w="15" w:type="dxa"/>
            </w:tcMar>
            <w:vAlign w:val="center"/>
          </w:tcPr>
          <w:p w14:paraId="73D53532">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w:t>
            </w:r>
          </w:p>
          <w:p w14:paraId="2D2A9818">
            <w:pPr>
              <w:widowControl/>
              <w:shd w:val="clear"/>
              <w:jc w:val="left"/>
              <w:textAlignment w:val="center"/>
              <w:rPr>
                <w:rFonts w:hint="default" w:ascii="Times New Roman" w:hAnsi="Times New Roman" w:cs="Times New Roman" w:eastAsiaTheme="minorEastAsia"/>
                <w:color w:val="auto"/>
                <w:sz w:val="18"/>
                <w:szCs w:val="18"/>
                <w:highlight w:val="none"/>
              </w:rPr>
            </w:pPr>
          </w:p>
          <w:p w14:paraId="63313294">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48540A18">
            <w:pPr>
              <w:shd w:val="clear"/>
              <w:rPr>
                <w:rFonts w:hint="default" w:ascii="Times New Roman" w:hAnsi="Times New Roman" w:cs="Times New Roman" w:eastAsiaTheme="minorEastAsia"/>
                <w:color w:val="auto"/>
                <w:sz w:val="18"/>
                <w:szCs w:val="18"/>
                <w:highlight w:val="none"/>
                <w:lang w:val="en-US" w:eastAsia="zh-CN"/>
              </w:rPr>
            </w:pPr>
          </w:p>
        </w:tc>
      </w:tr>
      <w:tr w14:paraId="0797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17" w:type="pct"/>
            <w:gridSpan w:val="2"/>
            <w:vMerge w:val="continue"/>
            <w:shd w:val="clear" w:color="auto" w:fill="auto"/>
            <w:tcMar>
              <w:top w:w="15" w:type="dxa"/>
              <w:left w:w="15" w:type="dxa"/>
              <w:right w:w="15" w:type="dxa"/>
            </w:tcMar>
            <w:vAlign w:val="center"/>
          </w:tcPr>
          <w:p w14:paraId="0FF22212">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3A7A01D1">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E1B78D3">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397174CF">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3BE180CF">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1421594B">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受纳</w:t>
            </w:r>
            <w:r>
              <w:rPr>
                <w:rFonts w:hint="default" w:ascii="Times New Roman" w:hAnsi="Times New Roman" w:cs="Times New Roman" w:eastAsiaTheme="minorEastAsia"/>
                <w:color w:val="auto"/>
                <w:kern w:val="0"/>
                <w:sz w:val="18"/>
                <w:szCs w:val="18"/>
                <w:highlight w:val="none"/>
                <w:lang w:val="en-US" w:eastAsia="zh-CN"/>
              </w:rPr>
              <w:t>10</w:t>
            </w:r>
            <w:r>
              <w:rPr>
                <w:rFonts w:hint="default" w:ascii="Times New Roman" w:hAnsi="Times New Roman" w:cs="Times New Roman" w:eastAsiaTheme="minorEastAsia"/>
                <w:color w:val="auto"/>
                <w:kern w:val="0"/>
                <w:sz w:val="18"/>
                <w:szCs w:val="18"/>
                <w:highlight w:val="none"/>
                <w:lang w:eastAsia="zh-CN"/>
              </w:rPr>
              <w:t>立方米以上</w:t>
            </w:r>
            <w:r>
              <w:rPr>
                <w:rFonts w:hint="default" w:ascii="Times New Roman" w:hAnsi="Times New Roman" w:cs="Times New Roman" w:eastAsiaTheme="minorEastAsia"/>
                <w:color w:val="auto"/>
                <w:kern w:val="0"/>
                <w:sz w:val="18"/>
                <w:szCs w:val="18"/>
                <w:highlight w:val="none"/>
                <w:lang w:val="en-US" w:eastAsia="zh-CN"/>
              </w:rPr>
              <w:t>20</w:t>
            </w:r>
            <w:r>
              <w:rPr>
                <w:rFonts w:hint="default" w:ascii="Times New Roman" w:hAnsi="Times New Roman" w:cs="Times New Roman" w:eastAsiaTheme="minorEastAsia"/>
                <w:color w:val="auto"/>
                <w:kern w:val="0"/>
                <w:sz w:val="18"/>
                <w:szCs w:val="18"/>
                <w:highlight w:val="none"/>
                <w:lang w:eastAsia="zh-CN"/>
              </w:rPr>
              <w:t>立方米以下</w:t>
            </w:r>
          </w:p>
        </w:tc>
        <w:tc>
          <w:tcPr>
            <w:tcW w:w="545" w:type="pct"/>
            <w:gridSpan w:val="2"/>
            <w:shd w:val="clear" w:color="auto" w:fill="auto"/>
            <w:tcMar>
              <w:top w:w="15" w:type="dxa"/>
              <w:left w:w="15" w:type="dxa"/>
              <w:right w:w="15" w:type="dxa"/>
            </w:tcMar>
            <w:vAlign w:val="center"/>
          </w:tcPr>
          <w:p w14:paraId="02DC1D4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给予警告，处6500元以上8500元以下罚款</w:t>
            </w:r>
          </w:p>
        </w:tc>
        <w:tc>
          <w:tcPr>
            <w:tcW w:w="200" w:type="pct"/>
            <w:gridSpan w:val="2"/>
            <w:vMerge w:val="continue"/>
            <w:shd w:val="clear" w:color="auto" w:fill="auto"/>
            <w:tcMar>
              <w:top w:w="15" w:type="dxa"/>
              <w:left w:w="15" w:type="dxa"/>
              <w:right w:w="15" w:type="dxa"/>
            </w:tcMar>
            <w:vAlign w:val="center"/>
          </w:tcPr>
          <w:p w14:paraId="2F14EE6E">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1063C145">
            <w:pPr>
              <w:shd w:val="clear"/>
              <w:rPr>
                <w:rFonts w:hint="default" w:ascii="Times New Roman" w:hAnsi="Times New Roman" w:cs="Times New Roman" w:eastAsiaTheme="minorEastAsia"/>
                <w:color w:val="auto"/>
                <w:sz w:val="18"/>
                <w:szCs w:val="18"/>
                <w:highlight w:val="none"/>
              </w:rPr>
            </w:pPr>
          </w:p>
        </w:tc>
      </w:tr>
      <w:tr w14:paraId="16114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17" w:type="pct"/>
            <w:gridSpan w:val="2"/>
            <w:vMerge w:val="continue"/>
            <w:shd w:val="clear" w:color="auto" w:fill="auto"/>
            <w:tcMar>
              <w:top w:w="15" w:type="dxa"/>
              <w:left w:w="15" w:type="dxa"/>
              <w:right w:w="15" w:type="dxa"/>
            </w:tcMar>
            <w:vAlign w:val="center"/>
          </w:tcPr>
          <w:p w14:paraId="33CF06FE">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3553C9AA">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67561E0F">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5F327E60">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43483596">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1CA2AB21">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受纳</w:t>
            </w:r>
            <w:r>
              <w:rPr>
                <w:rFonts w:hint="default" w:ascii="Times New Roman" w:hAnsi="Times New Roman" w:cs="Times New Roman" w:eastAsiaTheme="minorEastAsia"/>
                <w:color w:val="auto"/>
                <w:kern w:val="0"/>
                <w:sz w:val="18"/>
                <w:szCs w:val="18"/>
                <w:highlight w:val="none"/>
                <w:lang w:val="en-US" w:eastAsia="zh-CN"/>
              </w:rPr>
              <w:t>20</w:t>
            </w:r>
            <w:r>
              <w:rPr>
                <w:rFonts w:hint="default" w:ascii="Times New Roman" w:hAnsi="Times New Roman" w:cs="Times New Roman" w:eastAsiaTheme="minorEastAsia"/>
                <w:color w:val="auto"/>
                <w:kern w:val="0"/>
                <w:sz w:val="18"/>
                <w:szCs w:val="18"/>
                <w:highlight w:val="none"/>
                <w:lang w:eastAsia="zh-CN"/>
              </w:rPr>
              <w:t>立方米以上</w:t>
            </w:r>
          </w:p>
        </w:tc>
        <w:tc>
          <w:tcPr>
            <w:tcW w:w="545" w:type="pct"/>
            <w:gridSpan w:val="2"/>
            <w:shd w:val="clear" w:color="auto" w:fill="auto"/>
            <w:tcMar>
              <w:top w:w="15" w:type="dxa"/>
              <w:left w:w="15" w:type="dxa"/>
              <w:right w:w="15" w:type="dxa"/>
            </w:tcMar>
            <w:vAlign w:val="center"/>
          </w:tcPr>
          <w:p w14:paraId="0C73195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给予警告，处8500元以上</w:t>
            </w:r>
            <w:r>
              <w:rPr>
                <w:rFonts w:hint="default" w:ascii="Times New Roman" w:hAnsi="Times New Roman" w:cs="Times New Roman" w:eastAsiaTheme="minorEastAsia"/>
                <w:color w:val="auto"/>
                <w:kern w:val="0"/>
                <w:sz w:val="18"/>
                <w:szCs w:val="18"/>
                <w:highlight w:val="none"/>
                <w:lang w:val="en-US"/>
              </w:rPr>
              <w:t>1万</w:t>
            </w:r>
            <w:r>
              <w:rPr>
                <w:rFonts w:hint="default" w:ascii="Times New Roman" w:hAnsi="Times New Roman" w:cs="Times New Roman" w:eastAsiaTheme="minorEastAsia"/>
                <w:color w:val="auto"/>
                <w:kern w:val="0"/>
                <w:sz w:val="18"/>
                <w:szCs w:val="18"/>
                <w:highlight w:val="none"/>
              </w:rPr>
              <w:t>元以下罚款</w:t>
            </w:r>
          </w:p>
        </w:tc>
        <w:tc>
          <w:tcPr>
            <w:tcW w:w="200" w:type="pct"/>
            <w:gridSpan w:val="2"/>
            <w:vMerge w:val="continue"/>
            <w:shd w:val="clear" w:color="auto" w:fill="auto"/>
            <w:tcMar>
              <w:top w:w="15" w:type="dxa"/>
              <w:left w:w="15" w:type="dxa"/>
              <w:right w:w="15" w:type="dxa"/>
            </w:tcMar>
            <w:vAlign w:val="center"/>
          </w:tcPr>
          <w:p w14:paraId="3D032419">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1C2692FD">
            <w:pPr>
              <w:shd w:val="clear"/>
              <w:rPr>
                <w:rFonts w:hint="default" w:ascii="Times New Roman" w:hAnsi="Times New Roman" w:cs="Times New Roman" w:eastAsiaTheme="minorEastAsia"/>
                <w:color w:val="auto"/>
                <w:sz w:val="18"/>
                <w:szCs w:val="18"/>
                <w:highlight w:val="none"/>
              </w:rPr>
            </w:pPr>
          </w:p>
        </w:tc>
      </w:tr>
      <w:tr w14:paraId="7804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7" w:type="pct"/>
            <w:gridSpan w:val="2"/>
            <w:vMerge w:val="restart"/>
            <w:shd w:val="clear" w:color="auto" w:fill="auto"/>
            <w:tcMar>
              <w:top w:w="15" w:type="dxa"/>
              <w:left w:w="15" w:type="dxa"/>
              <w:right w:w="15" w:type="dxa"/>
            </w:tcMar>
            <w:vAlign w:val="center"/>
          </w:tcPr>
          <w:p w14:paraId="489790DC">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42</w:t>
            </w:r>
          </w:p>
        </w:tc>
        <w:tc>
          <w:tcPr>
            <w:tcW w:w="411" w:type="pct"/>
            <w:gridSpan w:val="2"/>
            <w:vMerge w:val="restart"/>
            <w:shd w:val="clear" w:color="auto" w:fill="auto"/>
            <w:tcMar>
              <w:top w:w="15" w:type="dxa"/>
              <w:left w:w="15" w:type="dxa"/>
              <w:right w:w="15" w:type="dxa"/>
            </w:tcMar>
            <w:vAlign w:val="center"/>
          </w:tcPr>
          <w:p w14:paraId="0BB7C6D8">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工程施工单位未编制建筑垃圾处理方案报备案</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741911F7">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《中华人民共和国固体废物污染环境防治法》第六十三条第一款：“工程施工单位应当编制建筑垃圾处理方案，采取污染防治措施，并报县级以上地方人民政府环境卫生主管部门备案。”</w:t>
            </w:r>
          </w:p>
          <w:p w14:paraId="7C7AFD1A">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1314" w:type="pct"/>
            <w:gridSpan w:val="2"/>
            <w:vMerge w:val="restart"/>
            <w:shd w:val="clear" w:color="auto" w:fill="auto"/>
            <w:tcMar>
              <w:top w:w="15" w:type="dxa"/>
              <w:left w:w="15" w:type="dxa"/>
              <w:right w:w="15" w:type="dxa"/>
            </w:tcMar>
            <w:vAlign w:val="center"/>
          </w:tcPr>
          <w:p w14:paraId="77740C0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 xml:space="preserve">《中华人民共和国固体废物污染环境防治法》第一百一十一条：“违反本法规定，有下列行为之一，由县级以上地方人民政府环境卫生主管部门责令改正，处以罚款，没收违法所得：（三）工程施工单位未编制建筑垃圾处理方案报备案，或者未及时清运施工过程中产生的固体废物的；”“......单位有前款第二项、第三项、第四项、第五项、第六项行为之一，处十万元以上一百万元以下的罚款；......” </w:t>
            </w:r>
          </w:p>
        </w:tc>
        <w:tc>
          <w:tcPr>
            <w:tcW w:w="177" w:type="pct"/>
            <w:gridSpan w:val="2"/>
            <w:shd w:val="clear" w:color="auto" w:fill="auto"/>
            <w:tcMar>
              <w:top w:w="15" w:type="dxa"/>
              <w:left w:w="15" w:type="dxa"/>
              <w:right w:w="15" w:type="dxa"/>
            </w:tcMar>
            <w:vAlign w:val="center"/>
          </w:tcPr>
          <w:p w14:paraId="0DE11A36">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5F54DED2">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未编制建筑垃圾处理方案报备案超期1个月以下</w:t>
            </w:r>
          </w:p>
        </w:tc>
        <w:tc>
          <w:tcPr>
            <w:tcW w:w="545" w:type="pct"/>
            <w:gridSpan w:val="2"/>
            <w:shd w:val="clear" w:color="auto" w:fill="auto"/>
            <w:tcMar>
              <w:top w:w="15" w:type="dxa"/>
              <w:left w:w="15" w:type="dxa"/>
              <w:right w:w="15" w:type="dxa"/>
            </w:tcMar>
            <w:vAlign w:val="center"/>
          </w:tcPr>
          <w:p w14:paraId="1A30E6E6">
            <w:pPr>
              <w:widowControl/>
              <w:shd w:val="clear"/>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37万</w:t>
            </w:r>
            <w:r>
              <w:rPr>
                <w:rFonts w:hint="default" w:ascii="Times New Roman" w:hAnsi="Times New Roman" w:cs="Times New Roman" w:eastAsiaTheme="minorEastAsia"/>
                <w:color w:val="auto"/>
                <w:kern w:val="0"/>
                <w:sz w:val="18"/>
                <w:szCs w:val="18"/>
                <w:highlight w:val="none"/>
              </w:rPr>
              <w:t>元以下的罚款</w:t>
            </w:r>
            <w:r>
              <w:rPr>
                <w:rFonts w:hint="default" w:ascii="Times New Roman" w:hAnsi="Times New Roman" w:cs="Times New Roman" w:eastAsiaTheme="minorEastAsia"/>
                <w:color w:val="auto"/>
                <w:kern w:val="0"/>
                <w:sz w:val="18"/>
                <w:szCs w:val="18"/>
                <w:highlight w:val="none"/>
                <w:lang w:val="en-US" w:eastAsia="zh-CN"/>
              </w:rPr>
              <w:t>,没收违法所得</w:t>
            </w:r>
          </w:p>
        </w:tc>
        <w:tc>
          <w:tcPr>
            <w:tcW w:w="200" w:type="pct"/>
            <w:gridSpan w:val="2"/>
            <w:vMerge w:val="restart"/>
            <w:shd w:val="clear" w:color="auto" w:fill="auto"/>
            <w:tcMar>
              <w:top w:w="15" w:type="dxa"/>
              <w:left w:w="15" w:type="dxa"/>
              <w:right w:w="15" w:type="dxa"/>
            </w:tcMar>
            <w:vAlign w:val="center"/>
          </w:tcPr>
          <w:p w14:paraId="2309AED9">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责令改正</w:t>
            </w:r>
          </w:p>
          <w:p w14:paraId="73F8F5B0">
            <w:pPr>
              <w:widowControl/>
              <w:shd w:val="clear"/>
              <w:jc w:val="center"/>
              <w:textAlignment w:val="center"/>
              <w:rPr>
                <w:rFonts w:hint="default" w:ascii="Times New Roman" w:hAnsi="Times New Roman" w:cs="Times New Roman" w:eastAsiaTheme="minorEastAsia"/>
                <w:color w:val="auto"/>
                <w:sz w:val="18"/>
                <w:szCs w:val="18"/>
                <w:highlight w:val="none"/>
              </w:rPr>
            </w:pPr>
          </w:p>
          <w:p w14:paraId="4612F836">
            <w:pPr>
              <w:widowControl/>
              <w:shd w:val="clear"/>
              <w:jc w:val="center"/>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0906DEC9">
            <w:pPr>
              <w:shd w:val="clear"/>
              <w:jc w:val="center"/>
              <w:rPr>
                <w:rFonts w:hint="default" w:ascii="Times New Roman" w:hAnsi="Times New Roman" w:cs="Times New Roman" w:eastAsiaTheme="minorEastAsia"/>
                <w:color w:val="auto"/>
                <w:sz w:val="18"/>
                <w:szCs w:val="18"/>
                <w:highlight w:val="none"/>
                <w:lang w:val="en-US" w:eastAsia="zh-CN"/>
              </w:rPr>
            </w:pPr>
          </w:p>
        </w:tc>
      </w:tr>
      <w:tr w14:paraId="1B4F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17" w:type="pct"/>
            <w:gridSpan w:val="2"/>
            <w:vMerge w:val="continue"/>
            <w:shd w:val="clear" w:color="auto" w:fill="auto"/>
            <w:tcMar>
              <w:top w:w="15" w:type="dxa"/>
              <w:left w:w="15" w:type="dxa"/>
              <w:right w:w="15" w:type="dxa"/>
            </w:tcMar>
            <w:vAlign w:val="center"/>
          </w:tcPr>
          <w:p w14:paraId="1510A2CA">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06057927">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360B5E2B">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17E85B1D">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1F03D10C">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1F870731">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未编制建筑垃圾处理方案报备案超期1个月以上3个月以下</w:t>
            </w:r>
          </w:p>
        </w:tc>
        <w:tc>
          <w:tcPr>
            <w:tcW w:w="545" w:type="pct"/>
            <w:gridSpan w:val="2"/>
            <w:shd w:val="clear" w:color="auto" w:fill="auto"/>
            <w:tcMar>
              <w:top w:w="15" w:type="dxa"/>
              <w:left w:w="15" w:type="dxa"/>
              <w:right w:w="15" w:type="dxa"/>
            </w:tcMar>
            <w:vAlign w:val="center"/>
          </w:tcPr>
          <w:p w14:paraId="3873EA84">
            <w:pPr>
              <w:widowControl/>
              <w:shd w:val="clea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37万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73万</w:t>
            </w:r>
            <w:r>
              <w:rPr>
                <w:rFonts w:hint="default" w:ascii="Times New Roman" w:hAnsi="Times New Roman" w:cs="Times New Roman" w:eastAsiaTheme="minorEastAsia"/>
                <w:color w:val="auto"/>
                <w:kern w:val="0"/>
                <w:sz w:val="18"/>
                <w:szCs w:val="18"/>
                <w:highlight w:val="none"/>
              </w:rPr>
              <w:t>元以下的罚款</w:t>
            </w:r>
            <w:r>
              <w:rPr>
                <w:rFonts w:hint="default" w:ascii="Times New Roman" w:hAnsi="Times New Roman" w:cs="Times New Roman" w:eastAsiaTheme="minorEastAsia"/>
                <w:color w:val="auto"/>
                <w:kern w:val="0"/>
                <w:sz w:val="18"/>
                <w:szCs w:val="18"/>
                <w:highlight w:val="none"/>
                <w:lang w:eastAsia="zh-CN"/>
              </w:rPr>
              <w:t>，没收违法所得</w:t>
            </w:r>
          </w:p>
        </w:tc>
        <w:tc>
          <w:tcPr>
            <w:tcW w:w="200" w:type="pct"/>
            <w:gridSpan w:val="2"/>
            <w:vMerge w:val="continue"/>
            <w:shd w:val="clear" w:color="auto" w:fill="auto"/>
            <w:tcMar>
              <w:top w:w="15" w:type="dxa"/>
              <w:left w:w="15" w:type="dxa"/>
              <w:right w:w="15" w:type="dxa"/>
            </w:tcMar>
            <w:vAlign w:val="center"/>
          </w:tcPr>
          <w:p w14:paraId="70E443BF">
            <w:pPr>
              <w:widowControl/>
              <w:shd w:val="clear"/>
              <w:jc w:val="center"/>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4DAB57C5">
            <w:pPr>
              <w:shd w:val="clear"/>
              <w:jc w:val="center"/>
              <w:rPr>
                <w:rFonts w:hint="default" w:ascii="Times New Roman" w:hAnsi="Times New Roman" w:cs="Times New Roman" w:eastAsiaTheme="minorEastAsia"/>
                <w:color w:val="auto"/>
                <w:sz w:val="18"/>
                <w:szCs w:val="18"/>
                <w:highlight w:val="none"/>
              </w:rPr>
            </w:pPr>
          </w:p>
        </w:tc>
      </w:tr>
      <w:tr w14:paraId="574E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17" w:type="pct"/>
            <w:gridSpan w:val="2"/>
            <w:vMerge w:val="continue"/>
            <w:shd w:val="clear" w:color="auto" w:fill="auto"/>
            <w:tcMar>
              <w:top w:w="15" w:type="dxa"/>
              <w:left w:w="15" w:type="dxa"/>
              <w:right w:w="15" w:type="dxa"/>
            </w:tcMar>
            <w:vAlign w:val="center"/>
          </w:tcPr>
          <w:p w14:paraId="5509023C">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2A6C91AD">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4AC7DEB6">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058A8CF2">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47547875">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3878172B">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未编制建筑垃圾处理方案报备案超期3个月以上</w:t>
            </w:r>
          </w:p>
        </w:tc>
        <w:tc>
          <w:tcPr>
            <w:tcW w:w="545" w:type="pct"/>
            <w:gridSpan w:val="2"/>
            <w:shd w:val="clear" w:color="auto" w:fill="auto"/>
            <w:tcMar>
              <w:top w:w="15" w:type="dxa"/>
              <w:left w:w="15" w:type="dxa"/>
              <w:right w:w="15" w:type="dxa"/>
            </w:tcMar>
            <w:vAlign w:val="center"/>
          </w:tcPr>
          <w:p w14:paraId="4185C20A">
            <w:pPr>
              <w:widowControl/>
              <w:shd w:val="clea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73万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100万</w:t>
            </w:r>
            <w:r>
              <w:rPr>
                <w:rFonts w:hint="default" w:ascii="Times New Roman" w:hAnsi="Times New Roman" w:cs="Times New Roman" w:eastAsiaTheme="minorEastAsia"/>
                <w:color w:val="auto"/>
                <w:kern w:val="0"/>
                <w:sz w:val="18"/>
                <w:szCs w:val="18"/>
                <w:highlight w:val="none"/>
              </w:rPr>
              <w:t>元以下的罚款</w:t>
            </w:r>
            <w:r>
              <w:rPr>
                <w:rFonts w:hint="default" w:ascii="Times New Roman" w:hAnsi="Times New Roman" w:cs="Times New Roman" w:eastAsiaTheme="minorEastAsia"/>
                <w:color w:val="auto"/>
                <w:kern w:val="0"/>
                <w:sz w:val="18"/>
                <w:szCs w:val="18"/>
                <w:highlight w:val="none"/>
                <w:lang w:eastAsia="zh-CN"/>
              </w:rPr>
              <w:t>，没收违法所得</w:t>
            </w:r>
          </w:p>
        </w:tc>
        <w:tc>
          <w:tcPr>
            <w:tcW w:w="200" w:type="pct"/>
            <w:gridSpan w:val="2"/>
            <w:vMerge w:val="continue"/>
            <w:shd w:val="clear" w:color="auto" w:fill="auto"/>
            <w:tcMar>
              <w:top w:w="15" w:type="dxa"/>
              <w:left w:w="15" w:type="dxa"/>
              <w:right w:w="15" w:type="dxa"/>
            </w:tcMar>
            <w:vAlign w:val="center"/>
          </w:tcPr>
          <w:p w14:paraId="0AD6C894">
            <w:pPr>
              <w:widowControl/>
              <w:shd w:val="clear"/>
              <w:jc w:val="center"/>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7485DF75">
            <w:pPr>
              <w:shd w:val="clear"/>
              <w:jc w:val="center"/>
              <w:rPr>
                <w:rFonts w:hint="default" w:ascii="Times New Roman" w:hAnsi="Times New Roman" w:cs="Times New Roman" w:eastAsiaTheme="minorEastAsia"/>
                <w:color w:val="auto"/>
                <w:sz w:val="18"/>
                <w:szCs w:val="18"/>
                <w:highlight w:val="none"/>
              </w:rPr>
            </w:pPr>
          </w:p>
        </w:tc>
      </w:tr>
      <w:tr w14:paraId="07C5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trPr>
        <w:tc>
          <w:tcPr>
            <w:tcW w:w="117" w:type="pct"/>
            <w:gridSpan w:val="2"/>
            <w:vMerge w:val="restart"/>
            <w:shd w:val="clear" w:color="auto" w:fill="auto"/>
            <w:tcMar>
              <w:top w:w="15" w:type="dxa"/>
              <w:left w:w="15" w:type="dxa"/>
              <w:right w:w="15" w:type="dxa"/>
            </w:tcMar>
            <w:vAlign w:val="center"/>
          </w:tcPr>
          <w:p w14:paraId="1F730F17">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43</w:t>
            </w:r>
          </w:p>
        </w:tc>
        <w:tc>
          <w:tcPr>
            <w:tcW w:w="411" w:type="pct"/>
            <w:gridSpan w:val="2"/>
            <w:vMerge w:val="restart"/>
            <w:shd w:val="clear" w:color="auto" w:fill="auto"/>
            <w:tcMar>
              <w:top w:w="15" w:type="dxa"/>
              <w:left w:w="15" w:type="dxa"/>
              <w:right w:w="15" w:type="dxa"/>
            </w:tcMar>
            <w:vAlign w:val="center"/>
          </w:tcPr>
          <w:p w14:paraId="7FDF0F74">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工程施工单位未及时清运工程施工过程中产生的建筑垃圾</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0C513294">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《中华人民共和国固体废物污染环境防治法》第六十三条第二款：“工程施工单位应当及时清运工程施工过程中产生的建筑垃圾等固体废物，并按照环境卫生主管部门的规定进行利用或者处置。”</w:t>
            </w:r>
          </w:p>
        </w:tc>
        <w:tc>
          <w:tcPr>
            <w:tcW w:w="1314" w:type="pct"/>
            <w:gridSpan w:val="2"/>
            <w:vMerge w:val="restart"/>
            <w:shd w:val="clear" w:color="auto" w:fill="auto"/>
            <w:tcMar>
              <w:top w:w="15" w:type="dxa"/>
              <w:left w:w="15" w:type="dxa"/>
              <w:right w:w="15" w:type="dxa"/>
            </w:tcMar>
            <w:vAlign w:val="center"/>
          </w:tcPr>
          <w:p w14:paraId="4F9D9F57">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 xml:space="preserve">《中华人民共和国固体废物污染环境防治法》第一百一十一条：“违反本法规定，有下列行为之一，由县级以上地方人民政府环境卫生主管部门责令改正，处以罚款，没收违法所得：（三）工程施工单位未编制建筑垃圾处理方案报备案，或者未及时清运施工过程中产生的固体废物的；”“......单位有前款第二项、第三项、第四项、第五项、第六项行为之一，处十万元以上一百万元以下的罚款；......” </w:t>
            </w:r>
          </w:p>
        </w:tc>
        <w:tc>
          <w:tcPr>
            <w:tcW w:w="177" w:type="pct"/>
            <w:gridSpan w:val="2"/>
            <w:shd w:val="clear" w:color="auto" w:fill="auto"/>
            <w:tcMar>
              <w:top w:w="15" w:type="dxa"/>
              <w:left w:w="15" w:type="dxa"/>
              <w:right w:w="15" w:type="dxa"/>
            </w:tcMar>
            <w:vAlign w:val="center"/>
          </w:tcPr>
          <w:p w14:paraId="11C503C2">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6F7B2BA3">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未及时清运施工过程中产生的固体废物50立方米以下</w:t>
            </w:r>
          </w:p>
        </w:tc>
        <w:tc>
          <w:tcPr>
            <w:tcW w:w="545" w:type="pct"/>
            <w:gridSpan w:val="2"/>
            <w:shd w:val="clear" w:color="auto" w:fill="auto"/>
            <w:tcMar>
              <w:top w:w="15" w:type="dxa"/>
              <w:left w:w="15" w:type="dxa"/>
              <w:right w:w="15" w:type="dxa"/>
            </w:tcMar>
            <w:vAlign w:val="center"/>
          </w:tcPr>
          <w:p w14:paraId="11177100">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10万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37万</w:t>
            </w:r>
            <w:r>
              <w:rPr>
                <w:rFonts w:hint="default" w:ascii="Times New Roman" w:hAnsi="Times New Roman" w:cs="Times New Roman" w:eastAsiaTheme="minorEastAsia"/>
                <w:color w:val="auto"/>
                <w:kern w:val="0"/>
                <w:sz w:val="18"/>
                <w:szCs w:val="18"/>
                <w:highlight w:val="none"/>
              </w:rPr>
              <w:t>元以下的罚款</w:t>
            </w:r>
            <w:r>
              <w:rPr>
                <w:rFonts w:hint="default" w:ascii="Times New Roman" w:hAnsi="Times New Roman" w:cs="Times New Roman" w:eastAsiaTheme="minorEastAsia"/>
                <w:color w:val="auto"/>
                <w:kern w:val="0"/>
                <w:sz w:val="18"/>
                <w:szCs w:val="18"/>
                <w:highlight w:val="none"/>
                <w:lang w:val="en-US" w:eastAsia="zh-CN"/>
              </w:rPr>
              <w:t>,没收违法所得</w:t>
            </w:r>
          </w:p>
        </w:tc>
        <w:tc>
          <w:tcPr>
            <w:tcW w:w="200" w:type="pct"/>
            <w:gridSpan w:val="2"/>
            <w:vMerge w:val="restart"/>
            <w:shd w:val="clear" w:color="auto" w:fill="auto"/>
            <w:tcMar>
              <w:top w:w="15" w:type="dxa"/>
              <w:left w:w="15" w:type="dxa"/>
              <w:right w:w="15" w:type="dxa"/>
            </w:tcMar>
            <w:vAlign w:val="center"/>
          </w:tcPr>
          <w:p w14:paraId="79114AE1">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责令改正</w:t>
            </w:r>
          </w:p>
        </w:tc>
        <w:tc>
          <w:tcPr>
            <w:tcW w:w="390" w:type="pct"/>
            <w:gridSpan w:val="3"/>
            <w:vMerge w:val="restart"/>
            <w:shd w:val="clear" w:color="auto" w:fill="auto"/>
            <w:tcMar>
              <w:top w:w="15" w:type="dxa"/>
              <w:left w:w="15" w:type="dxa"/>
              <w:right w:w="15" w:type="dxa"/>
            </w:tcMar>
            <w:vAlign w:val="center"/>
          </w:tcPr>
          <w:p w14:paraId="6D368F5C">
            <w:pPr>
              <w:shd w:val="clear"/>
              <w:jc w:val="left"/>
              <w:rPr>
                <w:rFonts w:hint="default" w:ascii="Times New Roman" w:hAnsi="Times New Roman" w:cs="Times New Roman" w:eastAsiaTheme="minorEastAsia"/>
                <w:color w:val="auto"/>
                <w:sz w:val="18"/>
                <w:szCs w:val="18"/>
                <w:highlight w:val="none"/>
                <w:lang w:val="en-US" w:eastAsia="zh-CN"/>
              </w:rPr>
            </w:pPr>
          </w:p>
        </w:tc>
      </w:tr>
      <w:tr w14:paraId="2988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trPr>
        <w:tc>
          <w:tcPr>
            <w:tcW w:w="117" w:type="pct"/>
            <w:gridSpan w:val="2"/>
            <w:vMerge w:val="continue"/>
            <w:shd w:val="clear" w:color="auto" w:fill="auto"/>
            <w:tcMar>
              <w:top w:w="15" w:type="dxa"/>
              <w:left w:w="15" w:type="dxa"/>
              <w:right w:w="15" w:type="dxa"/>
            </w:tcMar>
            <w:vAlign w:val="center"/>
          </w:tcPr>
          <w:p w14:paraId="33F74C0A">
            <w:pPr>
              <w:shd w:val="clear"/>
              <w:jc w:val="left"/>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4264A983">
            <w:pPr>
              <w:shd w:val="clear"/>
              <w:jc w:val="left"/>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657E90DA">
            <w:pPr>
              <w:shd w:val="clear"/>
              <w:jc w:val="left"/>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0A6C0340">
            <w:pPr>
              <w:shd w:val="clear"/>
              <w:jc w:val="left"/>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350FAAC8">
            <w:pPr>
              <w:shd w:val="clear"/>
              <w:jc w:val="left"/>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tcMar>
              <w:top w:w="15" w:type="dxa"/>
              <w:left w:w="15" w:type="dxa"/>
              <w:right w:w="15" w:type="dxa"/>
            </w:tcMar>
            <w:vAlign w:val="center"/>
          </w:tcPr>
          <w:p w14:paraId="75FF0574">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未及时清运施工过程中产生的固体废物50立方米以上200立方米以下</w:t>
            </w:r>
          </w:p>
        </w:tc>
        <w:tc>
          <w:tcPr>
            <w:tcW w:w="545" w:type="pct"/>
            <w:gridSpan w:val="2"/>
            <w:shd w:val="clear" w:color="auto" w:fill="auto"/>
            <w:tcMar>
              <w:top w:w="15" w:type="dxa"/>
              <w:left w:w="15" w:type="dxa"/>
              <w:right w:w="15" w:type="dxa"/>
            </w:tcMar>
            <w:vAlign w:val="center"/>
          </w:tcPr>
          <w:p w14:paraId="0DF44960">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37万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73万</w:t>
            </w:r>
            <w:r>
              <w:rPr>
                <w:rFonts w:hint="default" w:ascii="Times New Roman" w:hAnsi="Times New Roman" w:cs="Times New Roman" w:eastAsiaTheme="minorEastAsia"/>
                <w:color w:val="auto"/>
                <w:kern w:val="0"/>
                <w:sz w:val="18"/>
                <w:szCs w:val="18"/>
                <w:highlight w:val="none"/>
              </w:rPr>
              <w:t>元以下的罚款</w:t>
            </w:r>
            <w:r>
              <w:rPr>
                <w:rFonts w:hint="default" w:ascii="Times New Roman" w:hAnsi="Times New Roman" w:cs="Times New Roman" w:eastAsiaTheme="minorEastAsia"/>
                <w:color w:val="auto"/>
                <w:kern w:val="0"/>
                <w:sz w:val="18"/>
                <w:szCs w:val="18"/>
                <w:highlight w:val="none"/>
                <w:lang w:eastAsia="zh-CN"/>
              </w:rPr>
              <w:t>，没收违法所得</w:t>
            </w:r>
          </w:p>
        </w:tc>
        <w:tc>
          <w:tcPr>
            <w:tcW w:w="200" w:type="pct"/>
            <w:gridSpan w:val="2"/>
            <w:vMerge w:val="continue"/>
            <w:shd w:val="clear" w:color="auto" w:fill="auto"/>
            <w:tcMar>
              <w:top w:w="15" w:type="dxa"/>
              <w:left w:w="15" w:type="dxa"/>
              <w:right w:w="15" w:type="dxa"/>
            </w:tcMar>
            <w:vAlign w:val="center"/>
          </w:tcPr>
          <w:p w14:paraId="6FFD0870">
            <w:pPr>
              <w:shd w:val="clear"/>
              <w:jc w:val="left"/>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22195801">
            <w:pPr>
              <w:shd w:val="clear"/>
              <w:jc w:val="left"/>
              <w:rPr>
                <w:rFonts w:hint="default" w:ascii="Times New Roman" w:hAnsi="Times New Roman" w:cs="Times New Roman" w:eastAsiaTheme="minorEastAsia"/>
                <w:color w:val="auto"/>
                <w:kern w:val="0"/>
                <w:sz w:val="18"/>
                <w:szCs w:val="18"/>
                <w:highlight w:val="none"/>
              </w:rPr>
            </w:pPr>
          </w:p>
        </w:tc>
      </w:tr>
      <w:tr w14:paraId="148C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trPr>
        <w:tc>
          <w:tcPr>
            <w:tcW w:w="117" w:type="pct"/>
            <w:gridSpan w:val="2"/>
            <w:vMerge w:val="continue"/>
            <w:shd w:val="clear" w:color="auto" w:fill="auto"/>
            <w:tcMar>
              <w:top w:w="15" w:type="dxa"/>
              <w:left w:w="15" w:type="dxa"/>
              <w:right w:w="15" w:type="dxa"/>
            </w:tcMar>
            <w:vAlign w:val="center"/>
          </w:tcPr>
          <w:p w14:paraId="0AF5F5D3">
            <w:pPr>
              <w:shd w:val="clear"/>
              <w:jc w:val="left"/>
              <w:rPr>
                <w:rFonts w:hint="default" w:ascii="Times New Roman" w:hAnsi="Times New Roman" w:cs="Times New Roman" w:eastAsiaTheme="minorEastAsia"/>
                <w:color w:val="auto"/>
                <w:kern w:val="0"/>
                <w:sz w:val="18"/>
                <w:szCs w:val="18"/>
                <w:highlight w:val="none"/>
              </w:rPr>
            </w:pPr>
          </w:p>
        </w:tc>
        <w:tc>
          <w:tcPr>
            <w:tcW w:w="411" w:type="pct"/>
            <w:gridSpan w:val="2"/>
            <w:vMerge w:val="continue"/>
            <w:shd w:val="clear" w:color="auto" w:fill="auto"/>
            <w:tcMar>
              <w:top w:w="15" w:type="dxa"/>
              <w:left w:w="15" w:type="dxa"/>
              <w:right w:w="15" w:type="dxa"/>
            </w:tcMar>
            <w:vAlign w:val="center"/>
          </w:tcPr>
          <w:p w14:paraId="67069E6E">
            <w:pPr>
              <w:shd w:val="clear"/>
              <w:jc w:val="left"/>
              <w:rPr>
                <w:rFonts w:hint="default" w:ascii="Times New Roman" w:hAnsi="Times New Roman" w:cs="Times New Roman" w:eastAsiaTheme="minorEastAsia"/>
                <w:color w:val="auto"/>
                <w:kern w:val="0"/>
                <w:sz w:val="18"/>
                <w:szCs w:val="18"/>
                <w:highlight w:val="none"/>
              </w:rPr>
            </w:pPr>
          </w:p>
        </w:tc>
        <w:tc>
          <w:tcPr>
            <w:tcW w:w="1310" w:type="pct"/>
            <w:gridSpan w:val="2"/>
            <w:vMerge w:val="continue"/>
            <w:shd w:val="clear" w:color="auto" w:fill="auto"/>
            <w:tcMar>
              <w:top w:w="15" w:type="dxa"/>
              <w:left w:w="15" w:type="dxa"/>
              <w:right w:w="15" w:type="dxa"/>
            </w:tcMar>
            <w:vAlign w:val="center"/>
          </w:tcPr>
          <w:p w14:paraId="369DBC84">
            <w:pPr>
              <w:shd w:val="clear"/>
              <w:jc w:val="left"/>
              <w:rPr>
                <w:rFonts w:hint="default" w:ascii="Times New Roman" w:hAnsi="Times New Roman" w:cs="Times New Roman" w:eastAsiaTheme="minorEastAsia"/>
                <w:color w:val="auto"/>
                <w:kern w:val="0"/>
                <w:sz w:val="18"/>
                <w:szCs w:val="18"/>
                <w:highlight w:val="none"/>
              </w:rPr>
            </w:pPr>
          </w:p>
        </w:tc>
        <w:tc>
          <w:tcPr>
            <w:tcW w:w="1314" w:type="pct"/>
            <w:gridSpan w:val="2"/>
            <w:vMerge w:val="continue"/>
            <w:shd w:val="clear" w:color="auto" w:fill="auto"/>
            <w:tcMar>
              <w:top w:w="15" w:type="dxa"/>
              <w:left w:w="15" w:type="dxa"/>
              <w:right w:w="15" w:type="dxa"/>
            </w:tcMar>
            <w:vAlign w:val="center"/>
          </w:tcPr>
          <w:p w14:paraId="3AE28C4C">
            <w:pPr>
              <w:shd w:val="clear"/>
              <w:jc w:val="left"/>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6CFDF735">
            <w:pPr>
              <w:shd w:val="clear"/>
              <w:jc w:val="left"/>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3A52D8D1">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未及时清运施工过程中产生的固体废物200立方米以上</w:t>
            </w:r>
          </w:p>
        </w:tc>
        <w:tc>
          <w:tcPr>
            <w:tcW w:w="545" w:type="pct"/>
            <w:gridSpan w:val="2"/>
            <w:shd w:val="clear" w:color="auto" w:fill="auto"/>
            <w:tcMar>
              <w:top w:w="15" w:type="dxa"/>
              <w:left w:w="15" w:type="dxa"/>
              <w:right w:w="15" w:type="dxa"/>
            </w:tcMar>
            <w:vAlign w:val="center"/>
          </w:tcPr>
          <w:p w14:paraId="7808EADA">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73万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100万</w:t>
            </w:r>
            <w:r>
              <w:rPr>
                <w:rFonts w:hint="default" w:ascii="Times New Roman" w:hAnsi="Times New Roman" w:cs="Times New Roman" w:eastAsiaTheme="minorEastAsia"/>
                <w:color w:val="auto"/>
                <w:kern w:val="0"/>
                <w:sz w:val="18"/>
                <w:szCs w:val="18"/>
                <w:highlight w:val="none"/>
              </w:rPr>
              <w:t>元以下的罚款</w:t>
            </w:r>
            <w:r>
              <w:rPr>
                <w:rFonts w:hint="default" w:ascii="Times New Roman" w:hAnsi="Times New Roman" w:cs="Times New Roman" w:eastAsiaTheme="minorEastAsia"/>
                <w:color w:val="auto"/>
                <w:kern w:val="0"/>
                <w:sz w:val="18"/>
                <w:szCs w:val="18"/>
                <w:highlight w:val="none"/>
                <w:lang w:eastAsia="zh-CN"/>
              </w:rPr>
              <w:t>，没收违法所得</w:t>
            </w:r>
          </w:p>
        </w:tc>
        <w:tc>
          <w:tcPr>
            <w:tcW w:w="200" w:type="pct"/>
            <w:gridSpan w:val="2"/>
            <w:vMerge w:val="continue"/>
            <w:shd w:val="clear" w:color="auto" w:fill="auto"/>
            <w:tcMar>
              <w:top w:w="15" w:type="dxa"/>
              <w:left w:w="15" w:type="dxa"/>
              <w:right w:w="15" w:type="dxa"/>
            </w:tcMar>
            <w:vAlign w:val="center"/>
          </w:tcPr>
          <w:p w14:paraId="724663B5">
            <w:pPr>
              <w:shd w:val="clear"/>
              <w:jc w:val="left"/>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1CD2D7FB">
            <w:pPr>
              <w:shd w:val="clear"/>
              <w:jc w:val="left"/>
              <w:rPr>
                <w:rFonts w:hint="default" w:ascii="Times New Roman" w:hAnsi="Times New Roman" w:cs="Times New Roman" w:eastAsiaTheme="minorEastAsia"/>
                <w:color w:val="auto"/>
                <w:kern w:val="0"/>
                <w:sz w:val="18"/>
                <w:szCs w:val="18"/>
                <w:highlight w:val="none"/>
              </w:rPr>
            </w:pPr>
          </w:p>
        </w:tc>
      </w:tr>
      <w:tr w14:paraId="1381F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117" w:type="pct"/>
            <w:gridSpan w:val="2"/>
            <w:vMerge w:val="restart"/>
            <w:shd w:val="clear" w:color="auto" w:fill="auto"/>
            <w:tcMar>
              <w:top w:w="15" w:type="dxa"/>
              <w:left w:w="15" w:type="dxa"/>
              <w:right w:w="15" w:type="dxa"/>
            </w:tcMar>
            <w:vAlign w:val="center"/>
          </w:tcPr>
          <w:p w14:paraId="241E786F">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44</w:t>
            </w:r>
          </w:p>
        </w:tc>
        <w:tc>
          <w:tcPr>
            <w:tcW w:w="411" w:type="pct"/>
            <w:gridSpan w:val="2"/>
            <w:vMerge w:val="restart"/>
            <w:shd w:val="clear" w:color="auto" w:fill="auto"/>
            <w:tcMar>
              <w:top w:w="15" w:type="dxa"/>
              <w:left w:w="15" w:type="dxa"/>
              <w:right w:w="15" w:type="dxa"/>
            </w:tcMar>
            <w:vAlign w:val="center"/>
          </w:tcPr>
          <w:p w14:paraId="63102F12">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施工单位将建筑垃圾交给个人或者未经核准从事建筑垃圾运输的单位处置</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0F7B92B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《城市建筑垃圾管理规定》第十三条：“施工单位不得将建筑垃圾交给个人或者未经核准从事建筑垃圾运输的单位运输。”</w:t>
            </w:r>
          </w:p>
        </w:tc>
        <w:tc>
          <w:tcPr>
            <w:tcW w:w="1314" w:type="pct"/>
            <w:gridSpan w:val="2"/>
            <w:vMerge w:val="restart"/>
            <w:shd w:val="clear" w:color="auto" w:fill="auto"/>
            <w:tcMar>
              <w:top w:w="15" w:type="dxa"/>
              <w:left w:w="15" w:type="dxa"/>
              <w:right w:w="15" w:type="dxa"/>
            </w:tcMar>
            <w:vAlign w:val="center"/>
          </w:tcPr>
          <w:p w14:paraId="7E1B747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建筑垃圾管理规定》第二十二条第二款：“施工单位将建筑垃圾交给个人或者未经核准从事建筑垃圾运输的单位处置的，由城市人民政府市容环境卫生主管部门责令限期改正，给予警告，处1万元以上10万元以下罚款。”</w:t>
            </w:r>
          </w:p>
        </w:tc>
        <w:tc>
          <w:tcPr>
            <w:tcW w:w="177" w:type="pct"/>
            <w:gridSpan w:val="2"/>
            <w:shd w:val="clear" w:color="auto" w:fill="auto"/>
            <w:tcMar>
              <w:top w:w="15" w:type="dxa"/>
              <w:left w:w="15" w:type="dxa"/>
              <w:right w:w="15" w:type="dxa"/>
            </w:tcMar>
            <w:vAlign w:val="center"/>
          </w:tcPr>
          <w:p w14:paraId="78108A03">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5D2B61F4">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交运的建筑垃圾</w:t>
            </w:r>
            <w:r>
              <w:rPr>
                <w:rFonts w:hint="default" w:ascii="Times New Roman" w:hAnsi="Times New Roman" w:cs="Times New Roman" w:eastAsiaTheme="minorEastAsia"/>
                <w:color w:val="auto"/>
                <w:kern w:val="0"/>
                <w:sz w:val="18"/>
                <w:szCs w:val="18"/>
                <w:highlight w:val="none"/>
                <w:lang w:val="en-US" w:eastAsia="zh-CN"/>
              </w:rPr>
              <w:t>10立方米以下</w:t>
            </w:r>
          </w:p>
        </w:tc>
        <w:tc>
          <w:tcPr>
            <w:tcW w:w="545" w:type="pct"/>
            <w:gridSpan w:val="2"/>
            <w:shd w:val="clear" w:color="auto" w:fill="auto"/>
            <w:tcMar>
              <w:top w:w="15" w:type="dxa"/>
              <w:left w:w="15" w:type="dxa"/>
              <w:right w:w="15" w:type="dxa"/>
            </w:tcMar>
            <w:vAlign w:val="center"/>
          </w:tcPr>
          <w:p w14:paraId="13B2DAB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给予警告，处</w:t>
            </w:r>
            <w:r>
              <w:rPr>
                <w:rFonts w:hint="default" w:ascii="Times New Roman" w:hAnsi="Times New Roman" w:cs="Times New Roman" w:eastAsiaTheme="minorEastAsia"/>
                <w:color w:val="auto"/>
                <w:kern w:val="0"/>
                <w:sz w:val="18"/>
                <w:szCs w:val="18"/>
                <w:highlight w:val="none"/>
                <w:lang w:val="en-US"/>
              </w:rPr>
              <w:t>1万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3.7万</w:t>
            </w:r>
            <w:r>
              <w:rPr>
                <w:rFonts w:hint="default" w:ascii="Times New Roman" w:hAnsi="Times New Roman" w:cs="Times New Roman" w:eastAsiaTheme="minorEastAsia"/>
                <w:color w:val="auto"/>
                <w:kern w:val="0"/>
                <w:sz w:val="18"/>
                <w:szCs w:val="18"/>
                <w:highlight w:val="none"/>
              </w:rPr>
              <w:t>元以下罚款</w:t>
            </w:r>
          </w:p>
        </w:tc>
        <w:tc>
          <w:tcPr>
            <w:tcW w:w="200" w:type="pct"/>
            <w:gridSpan w:val="2"/>
            <w:vMerge w:val="restart"/>
            <w:shd w:val="clear" w:color="auto" w:fill="auto"/>
            <w:tcMar>
              <w:top w:w="15" w:type="dxa"/>
              <w:left w:w="15" w:type="dxa"/>
              <w:right w:w="15" w:type="dxa"/>
            </w:tcMar>
            <w:vAlign w:val="center"/>
          </w:tcPr>
          <w:p w14:paraId="086234C5">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w:t>
            </w:r>
          </w:p>
          <w:p w14:paraId="50E47ADC">
            <w:pPr>
              <w:widowControl/>
              <w:shd w:val="clear"/>
              <w:jc w:val="left"/>
              <w:textAlignment w:val="center"/>
              <w:rPr>
                <w:rFonts w:hint="default" w:ascii="Times New Roman" w:hAnsi="Times New Roman" w:cs="Times New Roman" w:eastAsiaTheme="minorEastAsia"/>
                <w:color w:val="auto"/>
                <w:sz w:val="18"/>
                <w:szCs w:val="18"/>
                <w:highlight w:val="none"/>
              </w:rPr>
            </w:pPr>
          </w:p>
          <w:p w14:paraId="70B45933">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59B7DEDF">
            <w:pPr>
              <w:shd w:val="clear"/>
              <w:jc w:val="left"/>
              <w:rPr>
                <w:rFonts w:hint="default" w:ascii="Times New Roman" w:hAnsi="Times New Roman" w:cs="Times New Roman" w:eastAsiaTheme="minorEastAsia"/>
                <w:color w:val="auto"/>
                <w:sz w:val="18"/>
                <w:szCs w:val="18"/>
                <w:highlight w:val="none"/>
                <w:lang w:val="en-US" w:eastAsia="zh-CN"/>
              </w:rPr>
            </w:pPr>
          </w:p>
        </w:tc>
      </w:tr>
      <w:tr w14:paraId="0689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117" w:type="pct"/>
            <w:gridSpan w:val="2"/>
            <w:vMerge w:val="continue"/>
            <w:shd w:val="clear" w:color="auto" w:fill="auto"/>
            <w:tcMar>
              <w:top w:w="15" w:type="dxa"/>
              <w:left w:w="15" w:type="dxa"/>
              <w:right w:w="15" w:type="dxa"/>
            </w:tcMar>
            <w:vAlign w:val="center"/>
          </w:tcPr>
          <w:p w14:paraId="6023EC84">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7D988549">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4B0BF72">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6ED5C6ED">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2E0A58B8">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67DED2F4">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交运的建筑垃圾</w:t>
            </w:r>
            <w:r>
              <w:rPr>
                <w:rFonts w:hint="default" w:ascii="Times New Roman" w:hAnsi="Times New Roman" w:cs="Times New Roman" w:eastAsiaTheme="minorEastAsia"/>
                <w:color w:val="auto"/>
                <w:kern w:val="0"/>
                <w:sz w:val="18"/>
                <w:szCs w:val="18"/>
                <w:highlight w:val="none"/>
                <w:lang w:val="en-US" w:eastAsia="zh-CN"/>
              </w:rPr>
              <w:t>10立方米以上50立方米以下</w:t>
            </w:r>
          </w:p>
        </w:tc>
        <w:tc>
          <w:tcPr>
            <w:tcW w:w="545" w:type="pct"/>
            <w:gridSpan w:val="2"/>
            <w:shd w:val="clear" w:color="auto" w:fill="auto"/>
            <w:tcMar>
              <w:top w:w="15" w:type="dxa"/>
              <w:left w:w="15" w:type="dxa"/>
              <w:right w:w="15" w:type="dxa"/>
            </w:tcMar>
            <w:vAlign w:val="center"/>
          </w:tcPr>
          <w:p w14:paraId="6B4775CE">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给予警告，处</w:t>
            </w:r>
            <w:r>
              <w:rPr>
                <w:rFonts w:hint="default" w:ascii="Times New Roman" w:hAnsi="Times New Roman" w:cs="Times New Roman" w:eastAsiaTheme="minorEastAsia"/>
                <w:color w:val="auto"/>
                <w:kern w:val="0"/>
                <w:sz w:val="18"/>
                <w:szCs w:val="18"/>
                <w:highlight w:val="none"/>
                <w:lang w:val="en-US" w:eastAsia="zh-CN"/>
              </w:rPr>
              <w:t>3.7万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7.3万</w:t>
            </w:r>
            <w:r>
              <w:rPr>
                <w:rFonts w:hint="default" w:ascii="Times New Roman" w:hAnsi="Times New Roman" w:cs="Times New Roman" w:eastAsiaTheme="minorEastAsia"/>
                <w:color w:val="auto"/>
                <w:kern w:val="0"/>
                <w:sz w:val="18"/>
                <w:szCs w:val="18"/>
                <w:highlight w:val="none"/>
              </w:rPr>
              <w:t>元以下罚款</w:t>
            </w:r>
          </w:p>
        </w:tc>
        <w:tc>
          <w:tcPr>
            <w:tcW w:w="200" w:type="pct"/>
            <w:gridSpan w:val="2"/>
            <w:vMerge w:val="continue"/>
            <w:shd w:val="clear" w:color="auto" w:fill="auto"/>
            <w:tcMar>
              <w:top w:w="15" w:type="dxa"/>
              <w:left w:w="15" w:type="dxa"/>
              <w:right w:w="15" w:type="dxa"/>
            </w:tcMar>
            <w:vAlign w:val="center"/>
          </w:tcPr>
          <w:p w14:paraId="5A9829E4">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41DEFD3C">
            <w:pPr>
              <w:shd w:val="clear"/>
              <w:jc w:val="left"/>
              <w:rPr>
                <w:rFonts w:hint="default" w:ascii="Times New Roman" w:hAnsi="Times New Roman" w:cs="Times New Roman" w:eastAsiaTheme="minorEastAsia"/>
                <w:color w:val="auto"/>
                <w:sz w:val="18"/>
                <w:szCs w:val="18"/>
                <w:highlight w:val="none"/>
              </w:rPr>
            </w:pPr>
          </w:p>
        </w:tc>
      </w:tr>
      <w:tr w14:paraId="3C455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117" w:type="pct"/>
            <w:gridSpan w:val="2"/>
            <w:vMerge w:val="continue"/>
            <w:shd w:val="clear" w:color="auto" w:fill="auto"/>
            <w:tcMar>
              <w:top w:w="15" w:type="dxa"/>
              <w:left w:w="15" w:type="dxa"/>
              <w:right w:w="15" w:type="dxa"/>
            </w:tcMar>
            <w:vAlign w:val="center"/>
          </w:tcPr>
          <w:p w14:paraId="6E3B9DC2">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76885A3A">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0D3C1355">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3E4BE410">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0791650B">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41163887">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交运的建筑垃圾</w:t>
            </w:r>
            <w:r>
              <w:rPr>
                <w:rFonts w:hint="default" w:ascii="Times New Roman" w:hAnsi="Times New Roman" w:cs="Times New Roman" w:eastAsiaTheme="minorEastAsia"/>
                <w:color w:val="auto"/>
                <w:kern w:val="0"/>
                <w:sz w:val="18"/>
                <w:szCs w:val="18"/>
                <w:highlight w:val="none"/>
                <w:lang w:val="en-US" w:eastAsia="zh-CN"/>
              </w:rPr>
              <w:t>50立方米以上</w:t>
            </w:r>
          </w:p>
        </w:tc>
        <w:tc>
          <w:tcPr>
            <w:tcW w:w="545" w:type="pct"/>
            <w:gridSpan w:val="2"/>
            <w:shd w:val="clear" w:color="auto" w:fill="auto"/>
            <w:tcMar>
              <w:top w:w="15" w:type="dxa"/>
              <w:left w:w="15" w:type="dxa"/>
              <w:right w:w="15" w:type="dxa"/>
            </w:tcMar>
            <w:vAlign w:val="center"/>
          </w:tcPr>
          <w:p w14:paraId="38A48A4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给予警告，处</w:t>
            </w:r>
            <w:r>
              <w:rPr>
                <w:rFonts w:hint="default" w:ascii="Times New Roman" w:hAnsi="Times New Roman" w:cs="Times New Roman" w:eastAsiaTheme="minorEastAsia"/>
                <w:color w:val="auto"/>
                <w:kern w:val="0"/>
                <w:sz w:val="18"/>
                <w:szCs w:val="18"/>
                <w:highlight w:val="none"/>
                <w:lang w:val="en-US" w:eastAsia="zh-CN"/>
              </w:rPr>
              <w:t>7.3万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元以下罚款</w:t>
            </w:r>
          </w:p>
        </w:tc>
        <w:tc>
          <w:tcPr>
            <w:tcW w:w="200" w:type="pct"/>
            <w:gridSpan w:val="2"/>
            <w:vMerge w:val="continue"/>
            <w:shd w:val="clear" w:color="auto" w:fill="auto"/>
            <w:tcMar>
              <w:top w:w="15" w:type="dxa"/>
              <w:left w:w="15" w:type="dxa"/>
              <w:right w:w="15" w:type="dxa"/>
            </w:tcMar>
            <w:vAlign w:val="center"/>
          </w:tcPr>
          <w:p w14:paraId="43E6B21C">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2190A12A">
            <w:pPr>
              <w:shd w:val="clear"/>
              <w:jc w:val="left"/>
              <w:rPr>
                <w:rFonts w:hint="default" w:ascii="Times New Roman" w:hAnsi="Times New Roman" w:cs="Times New Roman" w:eastAsiaTheme="minorEastAsia"/>
                <w:color w:val="auto"/>
                <w:sz w:val="18"/>
                <w:szCs w:val="18"/>
                <w:highlight w:val="none"/>
              </w:rPr>
            </w:pPr>
          </w:p>
        </w:tc>
      </w:tr>
      <w:tr w14:paraId="473F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117" w:type="pct"/>
            <w:gridSpan w:val="2"/>
            <w:vMerge w:val="restart"/>
            <w:shd w:val="clear" w:color="auto" w:fill="auto"/>
            <w:tcMar>
              <w:top w:w="15" w:type="dxa"/>
              <w:left w:w="15" w:type="dxa"/>
              <w:right w:w="15" w:type="dxa"/>
            </w:tcMar>
            <w:vAlign w:val="center"/>
          </w:tcPr>
          <w:p w14:paraId="18E80850">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45</w:t>
            </w:r>
          </w:p>
        </w:tc>
        <w:tc>
          <w:tcPr>
            <w:tcW w:w="411" w:type="pct"/>
            <w:gridSpan w:val="2"/>
            <w:vMerge w:val="restart"/>
            <w:shd w:val="clear" w:color="auto" w:fill="auto"/>
            <w:tcMar>
              <w:top w:w="15" w:type="dxa"/>
              <w:left w:w="15" w:type="dxa"/>
              <w:right w:w="15" w:type="dxa"/>
            </w:tcMar>
            <w:vAlign w:val="center"/>
          </w:tcPr>
          <w:p w14:paraId="5AF2A2D1">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处置建筑垃圾的单位在运输建筑垃圾过程中沿途丢弃、遗撒建筑垃圾</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53F239DF">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建筑垃圾管理规定》第十四条：“处置建筑垃圾的单位在运输建筑垃圾时，应当随车携带建筑垃圾处置核准文件，按照城市人民政府有关部门规定的运输路线、时间运行，不得丢弃、遗撒建筑垃圾，不得超出核准范围承运建筑垃圾。”</w:t>
            </w:r>
          </w:p>
        </w:tc>
        <w:tc>
          <w:tcPr>
            <w:tcW w:w="1314" w:type="pct"/>
            <w:gridSpan w:val="2"/>
            <w:vMerge w:val="restart"/>
            <w:shd w:val="clear" w:color="auto" w:fill="auto"/>
            <w:tcMar>
              <w:top w:w="15" w:type="dxa"/>
              <w:left w:w="15" w:type="dxa"/>
              <w:right w:w="15" w:type="dxa"/>
            </w:tcMar>
            <w:vAlign w:val="center"/>
          </w:tcPr>
          <w:p w14:paraId="3199C4B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建筑垃圾管理规定》第二十三条：“处置建筑垃圾的单位在运输建筑垃圾过程中沿途丢弃、遗撒建筑垃圾的，由城市人民政府市容环境卫生主管部门责令限期改正，给予警告，处5000元以上5万元以下罚款。”</w:t>
            </w:r>
          </w:p>
        </w:tc>
        <w:tc>
          <w:tcPr>
            <w:tcW w:w="177" w:type="pct"/>
            <w:gridSpan w:val="2"/>
            <w:shd w:val="clear" w:color="auto" w:fill="auto"/>
            <w:tcMar>
              <w:top w:w="15" w:type="dxa"/>
              <w:left w:w="15" w:type="dxa"/>
              <w:right w:w="15" w:type="dxa"/>
            </w:tcMar>
            <w:vAlign w:val="center"/>
          </w:tcPr>
          <w:p w14:paraId="5EDF64C0">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6E8BDBBA">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丢弃、遗撒500米</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lang w:val="en-US" w:eastAsia="zh-CN"/>
              </w:rPr>
              <w:t>;</w:t>
            </w:r>
          </w:p>
          <w:p w14:paraId="7A494138">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lang w:val="en-US" w:eastAsia="zh-CN"/>
              </w:rPr>
              <w:t>3</w:t>
            </w:r>
            <w:r>
              <w:rPr>
                <w:rFonts w:hint="default" w:ascii="Times New Roman" w:hAnsi="Times New Roman" w:cs="Times New Roman" w:eastAsiaTheme="minorEastAsia"/>
                <w:color w:val="auto"/>
                <w:kern w:val="0"/>
                <w:sz w:val="18"/>
                <w:szCs w:val="18"/>
                <w:highlight w:val="none"/>
                <w:lang w:eastAsia="zh-CN"/>
              </w:rPr>
              <w:t>次以下同类违法行为且未造成市政道路设施损坏或交通安全事故等危害后果</w:t>
            </w:r>
          </w:p>
        </w:tc>
        <w:tc>
          <w:tcPr>
            <w:tcW w:w="545" w:type="pct"/>
            <w:gridSpan w:val="2"/>
            <w:shd w:val="clear" w:color="auto" w:fill="auto"/>
            <w:tcMar>
              <w:top w:w="15" w:type="dxa"/>
              <w:left w:w="15" w:type="dxa"/>
              <w:right w:w="15" w:type="dxa"/>
            </w:tcMar>
            <w:vAlign w:val="center"/>
          </w:tcPr>
          <w:p w14:paraId="676FAE9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给予警告，处5000元以上</w:t>
            </w:r>
            <w:r>
              <w:rPr>
                <w:rFonts w:hint="default" w:ascii="Times New Roman" w:hAnsi="Times New Roman" w:cs="Times New Roman" w:eastAsiaTheme="minorEastAsia"/>
                <w:color w:val="auto"/>
                <w:kern w:val="0"/>
                <w:sz w:val="18"/>
                <w:szCs w:val="18"/>
                <w:highlight w:val="none"/>
                <w:lang w:val="en-US" w:eastAsia="zh-CN"/>
              </w:rPr>
              <w:t>1.85</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w:t>
            </w:r>
          </w:p>
        </w:tc>
        <w:tc>
          <w:tcPr>
            <w:tcW w:w="200" w:type="pct"/>
            <w:gridSpan w:val="2"/>
            <w:vMerge w:val="restart"/>
            <w:shd w:val="clear" w:color="auto" w:fill="auto"/>
            <w:tcMar>
              <w:top w:w="15" w:type="dxa"/>
              <w:left w:w="15" w:type="dxa"/>
              <w:right w:w="15" w:type="dxa"/>
            </w:tcMar>
            <w:vAlign w:val="center"/>
          </w:tcPr>
          <w:p w14:paraId="4B719881">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w:t>
            </w:r>
          </w:p>
          <w:p w14:paraId="0D1C803E">
            <w:pPr>
              <w:widowControl/>
              <w:shd w:val="clear"/>
              <w:jc w:val="left"/>
              <w:textAlignment w:val="center"/>
              <w:rPr>
                <w:rFonts w:hint="default" w:ascii="Times New Roman" w:hAnsi="Times New Roman" w:cs="Times New Roman" w:eastAsiaTheme="minorEastAsia"/>
                <w:color w:val="auto"/>
                <w:sz w:val="18"/>
                <w:szCs w:val="18"/>
                <w:highlight w:val="none"/>
              </w:rPr>
            </w:pPr>
          </w:p>
          <w:p w14:paraId="2B42F81D">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21686053">
            <w:pPr>
              <w:shd w:val="clear"/>
              <w:rPr>
                <w:rFonts w:hint="default" w:ascii="Times New Roman" w:hAnsi="Times New Roman" w:cs="Times New Roman" w:eastAsiaTheme="minorEastAsia"/>
                <w:color w:val="auto"/>
                <w:sz w:val="18"/>
                <w:szCs w:val="18"/>
                <w:highlight w:val="none"/>
                <w:lang w:val="en-US" w:eastAsia="zh-CN"/>
              </w:rPr>
            </w:pPr>
          </w:p>
        </w:tc>
      </w:tr>
      <w:tr w14:paraId="3C88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117" w:type="pct"/>
            <w:gridSpan w:val="2"/>
            <w:vMerge w:val="continue"/>
            <w:shd w:val="clear" w:color="auto" w:fill="auto"/>
            <w:tcMar>
              <w:top w:w="15" w:type="dxa"/>
              <w:left w:w="15" w:type="dxa"/>
              <w:right w:w="15" w:type="dxa"/>
            </w:tcMar>
            <w:vAlign w:val="center"/>
          </w:tcPr>
          <w:p w14:paraId="5E71F386">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31D09A0D">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0BA3B26A">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060262FE">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3198589C">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2324D4C0">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丢弃、遗撒500米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1000米</w:t>
            </w:r>
            <w:r>
              <w:rPr>
                <w:rFonts w:hint="default" w:ascii="Times New Roman" w:hAnsi="Times New Roman" w:cs="Times New Roman" w:eastAsiaTheme="minorEastAsia"/>
                <w:color w:val="auto"/>
                <w:kern w:val="0"/>
                <w:sz w:val="18"/>
                <w:szCs w:val="18"/>
                <w:highlight w:val="none"/>
                <w:lang w:eastAsia="zh-CN"/>
              </w:rPr>
              <w:t>以下；</w:t>
            </w:r>
          </w:p>
          <w:p w14:paraId="07A24ED0">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lang w:val="en-US" w:eastAsia="zh-CN"/>
              </w:rPr>
              <w:t>3</w:t>
            </w:r>
            <w:r>
              <w:rPr>
                <w:rFonts w:hint="default" w:ascii="Times New Roman" w:hAnsi="Times New Roman" w:cs="Times New Roman" w:eastAsiaTheme="minorEastAsia"/>
                <w:color w:val="auto"/>
                <w:kern w:val="0"/>
                <w:sz w:val="18"/>
                <w:szCs w:val="18"/>
                <w:highlight w:val="none"/>
                <w:lang w:eastAsia="zh-CN"/>
              </w:rPr>
              <w:t>次以上同类违法行为且未造成市政道路设施损坏或交通安全事故等危害后果</w:t>
            </w:r>
          </w:p>
        </w:tc>
        <w:tc>
          <w:tcPr>
            <w:tcW w:w="545" w:type="pct"/>
            <w:gridSpan w:val="2"/>
            <w:shd w:val="clear" w:color="auto" w:fill="auto"/>
            <w:tcMar>
              <w:top w:w="15" w:type="dxa"/>
              <w:left w:w="15" w:type="dxa"/>
              <w:right w:w="15" w:type="dxa"/>
            </w:tcMar>
            <w:vAlign w:val="center"/>
          </w:tcPr>
          <w:p w14:paraId="262A3B07">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给予警告，处</w:t>
            </w:r>
            <w:r>
              <w:rPr>
                <w:rFonts w:hint="default" w:ascii="Times New Roman" w:hAnsi="Times New Roman" w:cs="Times New Roman" w:eastAsiaTheme="minorEastAsia"/>
                <w:color w:val="auto"/>
                <w:kern w:val="0"/>
                <w:sz w:val="18"/>
                <w:szCs w:val="18"/>
                <w:highlight w:val="none"/>
                <w:lang w:val="en-US" w:eastAsia="zh-CN"/>
              </w:rPr>
              <w:t>1.85万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3.65万</w:t>
            </w:r>
            <w:r>
              <w:rPr>
                <w:rFonts w:hint="default" w:ascii="Times New Roman" w:hAnsi="Times New Roman" w:cs="Times New Roman" w:eastAsiaTheme="minorEastAsia"/>
                <w:color w:val="auto"/>
                <w:kern w:val="0"/>
                <w:sz w:val="18"/>
                <w:szCs w:val="18"/>
                <w:highlight w:val="none"/>
              </w:rPr>
              <w:t>元以下罚款</w:t>
            </w:r>
          </w:p>
        </w:tc>
        <w:tc>
          <w:tcPr>
            <w:tcW w:w="200" w:type="pct"/>
            <w:gridSpan w:val="2"/>
            <w:vMerge w:val="continue"/>
            <w:shd w:val="clear" w:color="auto" w:fill="auto"/>
            <w:tcMar>
              <w:top w:w="15" w:type="dxa"/>
              <w:left w:w="15" w:type="dxa"/>
              <w:right w:w="15" w:type="dxa"/>
            </w:tcMar>
            <w:vAlign w:val="center"/>
          </w:tcPr>
          <w:p w14:paraId="1C74A909">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0AF17839">
            <w:pPr>
              <w:shd w:val="clear"/>
              <w:rPr>
                <w:rFonts w:hint="default" w:ascii="Times New Roman" w:hAnsi="Times New Roman" w:cs="Times New Roman" w:eastAsiaTheme="minorEastAsia"/>
                <w:color w:val="auto"/>
                <w:sz w:val="18"/>
                <w:szCs w:val="18"/>
                <w:highlight w:val="none"/>
              </w:rPr>
            </w:pPr>
          </w:p>
        </w:tc>
      </w:tr>
      <w:tr w14:paraId="2249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117" w:type="pct"/>
            <w:gridSpan w:val="2"/>
            <w:vMerge w:val="continue"/>
            <w:shd w:val="clear" w:color="auto" w:fill="auto"/>
            <w:tcMar>
              <w:top w:w="15" w:type="dxa"/>
              <w:left w:w="15" w:type="dxa"/>
              <w:right w:w="15" w:type="dxa"/>
            </w:tcMar>
            <w:vAlign w:val="center"/>
          </w:tcPr>
          <w:p w14:paraId="77778C1E">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72F98B62">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48302E6F">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458278FE">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32B732A7">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249D722E">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丢弃、遗撒1000米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lang w:val="en-US" w:eastAsia="zh-CN"/>
              </w:rPr>
              <w:t>；</w:t>
            </w:r>
          </w:p>
          <w:p w14:paraId="5DA887C9">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lang w:val="en-US" w:eastAsia="zh-CN"/>
              </w:rPr>
              <w:t>已造成市政道路设施损坏或交通安全事故等严重危害后果</w:t>
            </w:r>
          </w:p>
        </w:tc>
        <w:tc>
          <w:tcPr>
            <w:tcW w:w="545" w:type="pct"/>
            <w:gridSpan w:val="2"/>
            <w:shd w:val="clear" w:color="auto" w:fill="auto"/>
            <w:tcMar>
              <w:top w:w="15" w:type="dxa"/>
              <w:left w:w="15" w:type="dxa"/>
              <w:right w:w="15" w:type="dxa"/>
            </w:tcMar>
            <w:vAlign w:val="center"/>
          </w:tcPr>
          <w:p w14:paraId="6A3A700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给予警告，处</w:t>
            </w:r>
            <w:r>
              <w:rPr>
                <w:rFonts w:hint="default" w:ascii="Times New Roman" w:hAnsi="Times New Roman" w:cs="Times New Roman" w:eastAsiaTheme="minorEastAsia"/>
                <w:color w:val="auto"/>
                <w:kern w:val="0"/>
                <w:sz w:val="18"/>
                <w:szCs w:val="18"/>
                <w:highlight w:val="none"/>
                <w:lang w:val="en-US" w:eastAsia="zh-CN"/>
              </w:rPr>
              <w:t>3.65万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5万</w:t>
            </w:r>
            <w:r>
              <w:rPr>
                <w:rFonts w:hint="default" w:ascii="Times New Roman" w:hAnsi="Times New Roman" w:cs="Times New Roman" w:eastAsiaTheme="minorEastAsia"/>
                <w:color w:val="auto"/>
                <w:kern w:val="0"/>
                <w:sz w:val="18"/>
                <w:szCs w:val="18"/>
                <w:highlight w:val="none"/>
              </w:rPr>
              <w:t>元以下罚款</w:t>
            </w:r>
          </w:p>
        </w:tc>
        <w:tc>
          <w:tcPr>
            <w:tcW w:w="200" w:type="pct"/>
            <w:gridSpan w:val="2"/>
            <w:vMerge w:val="continue"/>
            <w:shd w:val="clear" w:color="auto" w:fill="auto"/>
            <w:tcMar>
              <w:top w:w="15" w:type="dxa"/>
              <w:left w:w="15" w:type="dxa"/>
              <w:right w:w="15" w:type="dxa"/>
            </w:tcMar>
            <w:vAlign w:val="center"/>
          </w:tcPr>
          <w:p w14:paraId="7AD1DACC">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7DB44B21">
            <w:pPr>
              <w:shd w:val="clear"/>
              <w:rPr>
                <w:rFonts w:hint="default" w:ascii="Times New Roman" w:hAnsi="Times New Roman" w:cs="Times New Roman" w:eastAsiaTheme="minorEastAsia"/>
                <w:color w:val="auto"/>
                <w:sz w:val="18"/>
                <w:szCs w:val="18"/>
                <w:highlight w:val="none"/>
              </w:rPr>
            </w:pPr>
          </w:p>
        </w:tc>
      </w:tr>
      <w:tr w14:paraId="1079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trPr>
        <w:tc>
          <w:tcPr>
            <w:tcW w:w="117" w:type="pct"/>
            <w:gridSpan w:val="2"/>
            <w:vMerge w:val="restart"/>
            <w:shd w:val="clear" w:color="auto" w:fill="auto"/>
            <w:tcMar>
              <w:top w:w="15" w:type="dxa"/>
              <w:left w:w="15" w:type="dxa"/>
              <w:right w:w="15" w:type="dxa"/>
            </w:tcMar>
            <w:vAlign w:val="center"/>
          </w:tcPr>
          <w:p w14:paraId="3E8E6249">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46</w:t>
            </w:r>
          </w:p>
        </w:tc>
        <w:tc>
          <w:tcPr>
            <w:tcW w:w="411" w:type="pct"/>
            <w:gridSpan w:val="2"/>
            <w:vMerge w:val="restart"/>
            <w:shd w:val="clear" w:color="auto" w:fill="auto"/>
            <w:tcMar>
              <w:top w:w="15" w:type="dxa"/>
              <w:left w:w="15" w:type="dxa"/>
              <w:right w:w="15" w:type="dxa"/>
            </w:tcMar>
            <w:vAlign w:val="center"/>
          </w:tcPr>
          <w:p w14:paraId="0BAD3CC7">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处置建筑垃圾的单位处置超出核准范围的建筑垃圾</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12316F06">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建筑垃圾管理规定》第十四条：“处置建筑垃圾的单位在运输建筑垃圾时，应当随车携带建筑垃圾处置核准文件，按照城市人民政府有关部门规定的运输路线、时间运行，不得丢弃、遗撒建筑垃圾，不得超出核准范围承运建筑垃圾。”</w:t>
            </w:r>
          </w:p>
        </w:tc>
        <w:tc>
          <w:tcPr>
            <w:tcW w:w="1314" w:type="pct"/>
            <w:gridSpan w:val="2"/>
            <w:vMerge w:val="restart"/>
            <w:shd w:val="clear" w:color="auto" w:fill="auto"/>
            <w:tcMar>
              <w:top w:w="15" w:type="dxa"/>
              <w:left w:w="15" w:type="dxa"/>
              <w:right w:w="15" w:type="dxa"/>
            </w:tcMar>
            <w:vAlign w:val="center"/>
          </w:tcPr>
          <w:p w14:paraId="532DCD7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《城市建筑垃圾管理规定》第二十五条</w:t>
            </w:r>
            <w:r>
              <w:rPr>
                <w:rFonts w:hint="default" w:ascii="Times New Roman" w:hAnsi="Times New Roman" w:cs="Times New Roman" w:eastAsiaTheme="minorEastAsia"/>
                <w:color w:val="auto"/>
                <w:kern w:val="0"/>
                <w:sz w:val="18"/>
                <w:szCs w:val="18"/>
                <w:highlight w:val="none"/>
                <w:lang w:eastAsia="zh-CN"/>
              </w:rPr>
              <w:t>第二项</w:t>
            </w:r>
            <w:r>
              <w:rPr>
                <w:rFonts w:hint="default" w:ascii="Times New Roman" w:hAnsi="Times New Roman" w:cs="Times New Roman" w:eastAsiaTheme="minorEastAsia"/>
                <w:color w:val="auto"/>
                <w:kern w:val="0"/>
                <w:sz w:val="18"/>
                <w:szCs w:val="18"/>
                <w:highlight w:val="none"/>
              </w:rPr>
              <w:t>：“违反本规定，有下列情形之一的，由城市人民政府市容环境卫生主管部门责令限期改正，给予警告，对施工单位处1万元以上10万元以下罚款，对建设单位、运输建筑垃圾的单位处5000元以上3万元以下罚款：（二）处置超出核准范围的建筑垃圾的。”</w:t>
            </w:r>
          </w:p>
        </w:tc>
        <w:tc>
          <w:tcPr>
            <w:tcW w:w="177" w:type="pct"/>
            <w:gridSpan w:val="2"/>
            <w:shd w:val="clear" w:color="auto" w:fill="auto"/>
            <w:tcMar>
              <w:top w:w="15" w:type="dxa"/>
              <w:left w:w="15" w:type="dxa"/>
              <w:right w:w="15" w:type="dxa"/>
            </w:tcMar>
            <w:vAlign w:val="center"/>
          </w:tcPr>
          <w:p w14:paraId="4D0B5CF6">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007A7D9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处置</w:t>
            </w:r>
            <w:r>
              <w:rPr>
                <w:rFonts w:hint="default" w:ascii="Times New Roman" w:hAnsi="Times New Roman" w:cs="Times New Roman" w:eastAsiaTheme="minorEastAsia"/>
                <w:color w:val="auto"/>
                <w:kern w:val="0"/>
                <w:sz w:val="18"/>
                <w:szCs w:val="18"/>
                <w:highlight w:val="none"/>
                <w:lang w:eastAsia="zh-CN"/>
              </w:rPr>
              <w:t>建筑垃圾</w:t>
            </w:r>
            <w:r>
              <w:rPr>
                <w:rFonts w:hint="default" w:ascii="Times New Roman" w:hAnsi="Times New Roman" w:cs="Times New Roman" w:eastAsiaTheme="minorEastAsia"/>
                <w:color w:val="auto"/>
                <w:kern w:val="0"/>
                <w:sz w:val="18"/>
                <w:szCs w:val="18"/>
                <w:highlight w:val="none"/>
              </w:rPr>
              <w:t>10立方米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0DBB8AF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 xml:space="preserve">给予警告，对施工单位处 </w:t>
            </w:r>
            <w:r>
              <w:rPr>
                <w:rFonts w:hint="default" w:ascii="Times New Roman" w:hAnsi="Times New Roman" w:cs="Times New Roman" w:eastAsiaTheme="minorEastAsia"/>
                <w:color w:val="auto"/>
                <w:kern w:val="0"/>
                <w:sz w:val="18"/>
                <w:szCs w:val="18"/>
                <w:highlight w:val="none"/>
                <w:lang w:val="en-US"/>
              </w:rPr>
              <w:t>1万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3.7</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元以下罚款，对建设单位、运输建筑垃圾的单位处5000元以上</w:t>
            </w:r>
            <w:r>
              <w:rPr>
                <w:rFonts w:hint="default" w:ascii="Times New Roman" w:hAnsi="Times New Roman" w:cs="Times New Roman" w:eastAsiaTheme="minorEastAsia"/>
                <w:color w:val="auto"/>
                <w:kern w:val="0"/>
                <w:sz w:val="18"/>
                <w:szCs w:val="18"/>
                <w:highlight w:val="none"/>
                <w:lang w:val="en-US" w:eastAsia="zh-CN"/>
              </w:rPr>
              <w:t>1.25</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w:t>
            </w:r>
          </w:p>
        </w:tc>
        <w:tc>
          <w:tcPr>
            <w:tcW w:w="200" w:type="pct"/>
            <w:gridSpan w:val="2"/>
            <w:vMerge w:val="restart"/>
            <w:shd w:val="clear" w:color="auto" w:fill="auto"/>
            <w:tcMar>
              <w:top w:w="15" w:type="dxa"/>
              <w:left w:w="15" w:type="dxa"/>
              <w:right w:w="15" w:type="dxa"/>
            </w:tcMar>
            <w:vAlign w:val="center"/>
          </w:tcPr>
          <w:p w14:paraId="30ACD029">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w:t>
            </w:r>
          </w:p>
          <w:p w14:paraId="7B335056">
            <w:pPr>
              <w:widowControl/>
              <w:shd w:val="clear"/>
              <w:jc w:val="left"/>
              <w:textAlignment w:val="center"/>
              <w:rPr>
                <w:rFonts w:hint="default" w:ascii="Times New Roman" w:hAnsi="Times New Roman" w:cs="Times New Roman" w:eastAsiaTheme="minorEastAsia"/>
                <w:color w:val="auto"/>
                <w:sz w:val="18"/>
                <w:szCs w:val="18"/>
                <w:highlight w:val="none"/>
              </w:rPr>
            </w:pPr>
          </w:p>
          <w:p w14:paraId="21C45608">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0B31ED1C">
            <w:pPr>
              <w:shd w:val="clear"/>
              <w:rPr>
                <w:rFonts w:hint="default" w:ascii="Times New Roman" w:hAnsi="Times New Roman" w:cs="Times New Roman" w:eastAsiaTheme="minorEastAsia"/>
                <w:color w:val="auto"/>
                <w:sz w:val="18"/>
                <w:szCs w:val="18"/>
                <w:highlight w:val="none"/>
                <w:lang w:val="en-US" w:eastAsia="zh-CN"/>
              </w:rPr>
            </w:pPr>
          </w:p>
        </w:tc>
      </w:tr>
      <w:tr w14:paraId="668E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trPr>
        <w:tc>
          <w:tcPr>
            <w:tcW w:w="117" w:type="pct"/>
            <w:gridSpan w:val="2"/>
            <w:vMerge w:val="continue"/>
            <w:shd w:val="clear" w:color="auto" w:fill="auto"/>
            <w:tcMar>
              <w:top w:w="15" w:type="dxa"/>
              <w:left w:w="15" w:type="dxa"/>
              <w:right w:w="15" w:type="dxa"/>
            </w:tcMar>
            <w:vAlign w:val="center"/>
          </w:tcPr>
          <w:p w14:paraId="79F912F4">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50DE15F1">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3A15AA45">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2906D235">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45D434BB">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7E0B864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处置</w:t>
            </w:r>
            <w:r>
              <w:rPr>
                <w:rFonts w:hint="default" w:ascii="Times New Roman" w:hAnsi="Times New Roman" w:cs="Times New Roman" w:eastAsiaTheme="minorEastAsia"/>
                <w:color w:val="auto"/>
                <w:kern w:val="0"/>
                <w:sz w:val="18"/>
                <w:szCs w:val="18"/>
                <w:highlight w:val="none"/>
                <w:lang w:eastAsia="zh-CN"/>
              </w:rPr>
              <w:t>建筑垃圾</w:t>
            </w:r>
            <w:r>
              <w:rPr>
                <w:rFonts w:hint="default" w:ascii="Times New Roman" w:hAnsi="Times New Roman" w:cs="Times New Roman" w:eastAsiaTheme="minorEastAsia"/>
                <w:color w:val="auto"/>
                <w:kern w:val="0"/>
                <w:sz w:val="18"/>
                <w:szCs w:val="18"/>
                <w:highlight w:val="none"/>
              </w:rPr>
              <w:t>10立方米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15立方米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38D9323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给予警告，对施工单位处</w:t>
            </w:r>
            <w:r>
              <w:rPr>
                <w:rFonts w:hint="default" w:ascii="Times New Roman" w:hAnsi="Times New Roman" w:cs="Times New Roman" w:eastAsiaTheme="minorEastAsia"/>
                <w:color w:val="auto"/>
                <w:kern w:val="0"/>
                <w:sz w:val="18"/>
                <w:szCs w:val="18"/>
                <w:highlight w:val="none"/>
                <w:lang w:val="en-US" w:eastAsia="zh-CN"/>
              </w:rPr>
              <w:t>3.7</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元以下罚款，对建设单位、运输建筑垃圾的单位处</w:t>
            </w:r>
            <w:r>
              <w:rPr>
                <w:rFonts w:hint="default" w:ascii="Times New Roman" w:hAnsi="Times New Roman" w:cs="Times New Roman" w:eastAsiaTheme="minorEastAsia"/>
                <w:color w:val="auto"/>
                <w:kern w:val="0"/>
                <w:sz w:val="18"/>
                <w:szCs w:val="18"/>
                <w:highlight w:val="none"/>
                <w:lang w:val="en-US" w:eastAsia="zh-CN"/>
              </w:rPr>
              <w:t>1.25</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2.25</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w:t>
            </w:r>
          </w:p>
        </w:tc>
        <w:tc>
          <w:tcPr>
            <w:tcW w:w="200" w:type="pct"/>
            <w:gridSpan w:val="2"/>
            <w:vMerge w:val="continue"/>
            <w:shd w:val="clear" w:color="auto" w:fill="auto"/>
            <w:tcMar>
              <w:top w:w="15" w:type="dxa"/>
              <w:left w:w="15" w:type="dxa"/>
              <w:right w:w="15" w:type="dxa"/>
            </w:tcMar>
            <w:vAlign w:val="center"/>
          </w:tcPr>
          <w:p w14:paraId="7AA0A439">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188A703B">
            <w:pPr>
              <w:shd w:val="clear"/>
              <w:rPr>
                <w:rFonts w:hint="default" w:ascii="Times New Roman" w:hAnsi="Times New Roman" w:cs="Times New Roman" w:eastAsiaTheme="minorEastAsia"/>
                <w:color w:val="auto"/>
                <w:sz w:val="18"/>
                <w:szCs w:val="18"/>
                <w:highlight w:val="none"/>
              </w:rPr>
            </w:pPr>
          </w:p>
        </w:tc>
      </w:tr>
      <w:tr w14:paraId="2614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trPr>
        <w:tc>
          <w:tcPr>
            <w:tcW w:w="117" w:type="pct"/>
            <w:gridSpan w:val="2"/>
            <w:vMerge w:val="continue"/>
            <w:shd w:val="clear" w:color="auto" w:fill="auto"/>
            <w:tcMar>
              <w:top w:w="15" w:type="dxa"/>
              <w:left w:w="15" w:type="dxa"/>
              <w:right w:w="15" w:type="dxa"/>
            </w:tcMar>
            <w:vAlign w:val="center"/>
          </w:tcPr>
          <w:p w14:paraId="12765436">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34450520">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08BA8A3A">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6629C3D9">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119347DE">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3A90DC8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处置</w:t>
            </w:r>
            <w:r>
              <w:rPr>
                <w:rFonts w:hint="default" w:ascii="Times New Roman" w:hAnsi="Times New Roman" w:cs="Times New Roman" w:eastAsiaTheme="minorEastAsia"/>
                <w:color w:val="auto"/>
                <w:kern w:val="0"/>
                <w:sz w:val="18"/>
                <w:szCs w:val="18"/>
                <w:highlight w:val="none"/>
                <w:lang w:eastAsia="zh-CN"/>
              </w:rPr>
              <w:t>建筑垃圾</w:t>
            </w:r>
            <w:r>
              <w:rPr>
                <w:rFonts w:hint="default" w:ascii="Times New Roman" w:hAnsi="Times New Roman" w:cs="Times New Roman" w:eastAsiaTheme="minorEastAsia"/>
                <w:color w:val="auto"/>
                <w:kern w:val="0"/>
                <w:sz w:val="18"/>
                <w:szCs w:val="18"/>
                <w:highlight w:val="none"/>
              </w:rPr>
              <w:t>15立方米</w:t>
            </w:r>
            <w:bookmarkStart w:id="124" w:name="_GoBack"/>
            <w:r>
              <w:rPr>
                <w:rFonts w:hint="default" w:ascii="Times New Roman" w:hAnsi="Times New Roman" w:cs="Times New Roman" w:eastAsiaTheme="minorEastAsia"/>
                <w:color w:val="auto"/>
                <w:kern w:val="0"/>
                <w:sz w:val="18"/>
                <w:szCs w:val="18"/>
                <w:highlight w:val="none"/>
                <w:lang w:eastAsia="zh-CN"/>
              </w:rPr>
              <w:t>以</w:t>
            </w:r>
            <w:r>
              <w:rPr>
                <w:rFonts w:hint="eastAsia" w:ascii="Times New Roman" w:hAnsi="Times New Roman" w:cs="Times New Roman"/>
                <w:color w:val="auto"/>
                <w:kern w:val="0"/>
                <w:sz w:val="18"/>
                <w:szCs w:val="18"/>
                <w:highlight w:val="none"/>
                <w:lang w:eastAsia="zh-CN"/>
              </w:rPr>
              <w:t>上</w:t>
            </w:r>
            <w:bookmarkEnd w:id="124"/>
          </w:p>
        </w:tc>
        <w:tc>
          <w:tcPr>
            <w:tcW w:w="545" w:type="pct"/>
            <w:gridSpan w:val="2"/>
            <w:shd w:val="clear" w:color="auto" w:fill="auto"/>
            <w:tcMar>
              <w:top w:w="15" w:type="dxa"/>
              <w:left w:w="15" w:type="dxa"/>
              <w:right w:w="15" w:type="dxa"/>
            </w:tcMar>
            <w:vAlign w:val="center"/>
          </w:tcPr>
          <w:p w14:paraId="3E93337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给予警告，对施工单位处</w:t>
            </w:r>
            <w:r>
              <w:rPr>
                <w:rFonts w:hint="default" w:ascii="Times New Roman" w:hAnsi="Times New Roman" w:cs="Times New Roman" w:eastAsiaTheme="minorEastAsia"/>
                <w:color w:val="auto"/>
                <w:kern w:val="0"/>
                <w:sz w:val="18"/>
                <w:szCs w:val="18"/>
                <w:highlight w:val="none"/>
                <w:lang w:val="en-US" w:eastAsia="zh-CN"/>
              </w:rPr>
              <w:t>7.3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元以下罚款，对建设单位、运输建筑垃圾的单位处</w:t>
            </w:r>
            <w:r>
              <w:rPr>
                <w:rFonts w:hint="default" w:ascii="Times New Roman" w:hAnsi="Times New Roman" w:cs="Times New Roman" w:eastAsiaTheme="minorEastAsia"/>
                <w:color w:val="auto"/>
                <w:kern w:val="0"/>
                <w:sz w:val="18"/>
                <w:szCs w:val="18"/>
                <w:highlight w:val="none"/>
                <w:lang w:val="en-US" w:eastAsia="zh-CN"/>
              </w:rPr>
              <w:t>2.25</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元以下罚款</w:t>
            </w:r>
          </w:p>
        </w:tc>
        <w:tc>
          <w:tcPr>
            <w:tcW w:w="200" w:type="pct"/>
            <w:gridSpan w:val="2"/>
            <w:vMerge w:val="continue"/>
            <w:shd w:val="clear" w:color="auto" w:fill="auto"/>
            <w:tcMar>
              <w:top w:w="15" w:type="dxa"/>
              <w:left w:w="15" w:type="dxa"/>
              <w:right w:w="15" w:type="dxa"/>
            </w:tcMar>
            <w:vAlign w:val="center"/>
          </w:tcPr>
          <w:p w14:paraId="3D06DD38">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2AD2F606">
            <w:pPr>
              <w:shd w:val="clear"/>
              <w:rPr>
                <w:rFonts w:hint="default" w:ascii="Times New Roman" w:hAnsi="Times New Roman" w:cs="Times New Roman" w:eastAsiaTheme="minorEastAsia"/>
                <w:color w:val="auto"/>
                <w:sz w:val="18"/>
                <w:szCs w:val="18"/>
                <w:highlight w:val="none"/>
              </w:rPr>
            </w:pPr>
          </w:p>
        </w:tc>
      </w:tr>
      <w:tr w14:paraId="0F55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17" w:type="pct"/>
            <w:gridSpan w:val="2"/>
            <w:vMerge w:val="restart"/>
            <w:shd w:val="clear" w:color="auto" w:fill="auto"/>
            <w:tcMar>
              <w:top w:w="15" w:type="dxa"/>
              <w:left w:w="15" w:type="dxa"/>
              <w:right w:w="15" w:type="dxa"/>
            </w:tcMar>
            <w:vAlign w:val="center"/>
          </w:tcPr>
          <w:p w14:paraId="6A2B3C51">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47</w:t>
            </w:r>
          </w:p>
        </w:tc>
        <w:tc>
          <w:tcPr>
            <w:tcW w:w="411" w:type="pct"/>
            <w:gridSpan w:val="2"/>
            <w:vMerge w:val="restart"/>
            <w:shd w:val="clear" w:color="auto" w:fill="auto"/>
            <w:tcMar>
              <w:top w:w="15" w:type="dxa"/>
              <w:left w:w="15" w:type="dxa"/>
              <w:right w:w="15" w:type="dxa"/>
            </w:tcMar>
            <w:vAlign w:val="center"/>
          </w:tcPr>
          <w:p w14:paraId="7FFB64AB">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随意倾倒、抛撒或者堆放建筑垃圾（工程施工单位</w:t>
            </w:r>
            <w:r>
              <w:rPr>
                <w:rFonts w:hint="default" w:ascii="Times New Roman" w:hAnsi="Times New Roman" w:cs="Times New Roman" w:eastAsiaTheme="minorEastAsia"/>
                <w:color w:val="auto"/>
                <w:kern w:val="0"/>
                <w:sz w:val="18"/>
                <w:szCs w:val="18"/>
                <w:highlight w:val="none"/>
                <w:lang w:eastAsia="zh-CN"/>
              </w:rPr>
              <w:t>除外</w:t>
            </w:r>
            <w:r>
              <w:rPr>
                <w:rFonts w:hint="default" w:ascii="Times New Roman" w:hAnsi="Times New Roman" w:cs="Times New Roman" w:eastAsiaTheme="minorEastAsia"/>
                <w:color w:val="auto"/>
                <w:kern w:val="0"/>
                <w:sz w:val="18"/>
                <w:szCs w:val="18"/>
                <w:highlight w:val="none"/>
              </w:rPr>
              <w:t>）</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11F78FCF">
            <w:pPr>
              <w:widowControl/>
              <w:shd w:val="clear"/>
              <w:ind w:left="180" w:hanging="180" w:hangingChars="100"/>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《城市建筑垃圾管理规定》第十五条：“任何单位和个人不得随意倾倒、抛撒或者堆放建筑垃圾。”</w:t>
            </w:r>
          </w:p>
        </w:tc>
        <w:tc>
          <w:tcPr>
            <w:tcW w:w="1314" w:type="pct"/>
            <w:gridSpan w:val="2"/>
            <w:vMerge w:val="restart"/>
            <w:shd w:val="clear" w:color="auto" w:fill="auto"/>
            <w:tcMar>
              <w:top w:w="15" w:type="dxa"/>
              <w:left w:w="15" w:type="dxa"/>
              <w:right w:w="15" w:type="dxa"/>
            </w:tcMar>
            <w:vAlign w:val="center"/>
          </w:tcPr>
          <w:p w14:paraId="01D4FC1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建筑垃圾管理规定》第二十六条：“任何单位和个人随意倾倒、抛撒或者堆放建筑垃圾的，由城市人民政府市容环境卫生主管部门责令限期改正，给予警告，并对单位处5000元以上5万元以下罚款，对个人处200元以下罚款。”</w:t>
            </w:r>
          </w:p>
        </w:tc>
        <w:tc>
          <w:tcPr>
            <w:tcW w:w="177" w:type="pct"/>
            <w:gridSpan w:val="2"/>
            <w:shd w:val="clear" w:color="auto" w:fill="auto"/>
            <w:tcMar>
              <w:top w:w="15" w:type="dxa"/>
              <w:left w:w="15" w:type="dxa"/>
              <w:right w:w="15" w:type="dxa"/>
            </w:tcMar>
            <w:vAlign w:val="center"/>
          </w:tcPr>
          <w:p w14:paraId="3AEF7C5A">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5B3BB06D">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倾倒、抛洒、堆放城市建筑垃圾4平方米</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rPr>
              <w:t>或2立方米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52CDE6F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给予警告，并对单位处5000元以上</w:t>
            </w:r>
            <w:r>
              <w:rPr>
                <w:rFonts w:hint="default" w:ascii="Times New Roman" w:hAnsi="Times New Roman" w:cs="Times New Roman" w:eastAsiaTheme="minorEastAsia"/>
                <w:color w:val="auto"/>
                <w:kern w:val="0"/>
                <w:sz w:val="18"/>
                <w:szCs w:val="18"/>
                <w:highlight w:val="none"/>
                <w:lang w:val="en-US" w:eastAsia="zh-CN"/>
              </w:rPr>
              <w:t>1.85</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元以下罚款，对个人处</w:t>
            </w:r>
            <w:r>
              <w:rPr>
                <w:rFonts w:hint="default" w:ascii="Times New Roman" w:hAnsi="Times New Roman" w:cs="Times New Roman" w:eastAsiaTheme="minorEastAsia"/>
                <w:color w:val="auto"/>
                <w:kern w:val="0"/>
                <w:sz w:val="18"/>
                <w:szCs w:val="18"/>
                <w:highlight w:val="none"/>
                <w:lang w:val="en-US" w:eastAsia="zh-CN"/>
              </w:rPr>
              <w:t>60</w:t>
            </w:r>
            <w:r>
              <w:rPr>
                <w:rFonts w:hint="default" w:ascii="Times New Roman" w:hAnsi="Times New Roman" w:cs="Times New Roman" w:eastAsiaTheme="minorEastAsia"/>
                <w:color w:val="auto"/>
                <w:kern w:val="0"/>
                <w:sz w:val="18"/>
                <w:szCs w:val="18"/>
                <w:highlight w:val="none"/>
              </w:rPr>
              <w:t>元以下罚款</w:t>
            </w:r>
          </w:p>
        </w:tc>
        <w:tc>
          <w:tcPr>
            <w:tcW w:w="200" w:type="pct"/>
            <w:gridSpan w:val="2"/>
            <w:vMerge w:val="restart"/>
            <w:shd w:val="clear" w:color="auto" w:fill="auto"/>
            <w:tcMar>
              <w:top w:w="15" w:type="dxa"/>
              <w:left w:w="15" w:type="dxa"/>
              <w:right w:w="15" w:type="dxa"/>
            </w:tcMar>
            <w:vAlign w:val="center"/>
          </w:tcPr>
          <w:p w14:paraId="055E5C7B">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w:t>
            </w:r>
          </w:p>
          <w:p w14:paraId="5E677FF3">
            <w:pPr>
              <w:widowControl/>
              <w:shd w:val="clear"/>
              <w:jc w:val="left"/>
              <w:textAlignment w:val="center"/>
              <w:rPr>
                <w:rFonts w:hint="default" w:ascii="Times New Roman" w:hAnsi="Times New Roman" w:cs="Times New Roman" w:eastAsiaTheme="minorEastAsia"/>
                <w:color w:val="auto"/>
                <w:sz w:val="18"/>
                <w:szCs w:val="18"/>
                <w:highlight w:val="none"/>
              </w:rPr>
            </w:pPr>
          </w:p>
          <w:p w14:paraId="60916095">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2154EDD4">
            <w:pPr>
              <w:shd w:val="clear"/>
              <w:jc w:val="left"/>
              <w:rPr>
                <w:rFonts w:hint="default" w:ascii="Times New Roman" w:hAnsi="Times New Roman" w:cs="Times New Roman" w:eastAsiaTheme="minorEastAsia"/>
                <w:color w:val="auto"/>
                <w:sz w:val="18"/>
                <w:szCs w:val="18"/>
                <w:highlight w:val="none"/>
                <w:lang w:val="en-US" w:eastAsia="zh-CN"/>
              </w:rPr>
            </w:pPr>
          </w:p>
        </w:tc>
      </w:tr>
      <w:tr w14:paraId="7C9E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6" w:hRule="exact"/>
        </w:trPr>
        <w:tc>
          <w:tcPr>
            <w:tcW w:w="117" w:type="pct"/>
            <w:gridSpan w:val="2"/>
            <w:vMerge w:val="continue"/>
            <w:shd w:val="clear" w:color="auto" w:fill="auto"/>
            <w:tcMar>
              <w:top w:w="15" w:type="dxa"/>
              <w:left w:w="15" w:type="dxa"/>
              <w:right w:w="15" w:type="dxa"/>
            </w:tcMar>
            <w:vAlign w:val="center"/>
          </w:tcPr>
          <w:p w14:paraId="72BE21A5">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69E2F776">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2B9BFD8C">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0115C24D">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1D34C5A4">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747AE67D">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倾倒、抛洒、堆放城市建筑垃圾4平方米</w:t>
            </w:r>
            <w:r>
              <w:rPr>
                <w:rFonts w:hint="default" w:ascii="Times New Roman" w:hAnsi="Times New Roman" w:cs="Times New Roman" w:eastAsiaTheme="minorEastAsia"/>
                <w:color w:val="auto"/>
                <w:kern w:val="0"/>
                <w:sz w:val="18"/>
                <w:szCs w:val="18"/>
                <w:highlight w:val="none"/>
                <w:lang w:eastAsia="zh-CN"/>
              </w:rPr>
              <w:t>以上10平方米以下</w:t>
            </w:r>
            <w:r>
              <w:rPr>
                <w:rFonts w:hint="default" w:ascii="Times New Roman" w:hAnsi="Times New Roman" w:cs="Times New Roman" w:eastAsiaTheme="minorEastAsia"/>
                <w:color w:val="auto"/>
                <w:kern w:val="0"/>
                <w:sz w:val="18"/>
                <w:szCs w:val="18"/>
                <w:highlight w:val="none"/>
              </w:rPr>
              <w:t>或2立方米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5立方米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1B178E1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给予警告，并对单位处</w:t>
            </w:r>
            <w:r>
              <w:rPr>
                <w:rFonts w:hint="default" w:ascii="Times New Roman" w:hAnsi="Times New Roman" w:cs="Times New Roman" w:eastAsiaTheme="minorEastAsia"/>
                <w:color w:val="auto"/>
                <w:kern w:val="0"/>
                <w:sz w:val="18"/>
                <w:szCs w:val="18"/>
                <w:highlight w:val="none"/>
                <w:lang w:val="en-US" w:eastAsia="zh-CN"/>
              </w:rPr>
              <w:t>1.85</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3.65</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元以下罚款，对个人处</w:t>
            </w:r>
            <w:r>
              <w:rPr>
                <w:rFonts w:hint="default" w:ascii="Times New Roman" w:hAnsi="Times New Roman" w:cs="Times New Roman" w:eastAsiaTheme="minorEastAsia"/>
                <w:color w:val="auto"/>
                <w:kern w:val="0"/>
                <w:sz w:val="18"/>
                <w:szCs w:val="18"/>
                <w:highlight w:val="none"/>
                <w:lang w:val="en-US" w:eastAsia="zh-CN"/>
              </w:rPr>
              <w:t>60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140</w:t>
            </w:r>
            <w:r>
              <w:rPr>
                <w:rFonts w:hint="default" w:ascii="Times New Roman" w:hAnsi="Times New Roman" w:cs="Times New Roman" w:eastAsiaTheme="minorEastAsia"/>
                <w:color w:val="auto"/>
                <w:kern w:val="0"/>
                <w:sz w:val="18"/>
                <w:szCs w:val="18"/>
                <w:highlight w:val="none"/>
              </w:rPr>
              <w:t>元以下罚款</w:t>
            </w:r>
          </w:p>
        </w:tc>
        <w:tc>
          <w:tcPr>
            <w:tcW w:w="200" w:type="pct"/>
            <w:gridSpan w:val="2"/>
            <w:vMerge w:val="continue"/>
            <w:shd w:val="clear" w:color="auto" w:fill="auto"/>
            <w:tcMar>
              <w:top w:w="15" w:type="dxa"/>
              <w:left w:w="15" w:type="dxa"/>
              <w:right w:w="15" w:type="dxa"/>
            </w:tcMar>
            <w:vAlign w:val="center"/>
          </w:tcPr>
          <w:p w14:paraId="08C4E683">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2478D5EE">
            <w:pPr>
              <w:shd w:val="clear"/>
              <w:jc w:val="left"/>
              <w:rPr>
                <w:rFonts w:hint="default" w:ascii="Times New Roman" w:hAnsi="Times New Roman" w:cs="Times New Roman" w:eastAsiaTheme="minorEastAsia"/>
                <w:color w:val="auto"/>
                <w:sz w:val="18"/>
                <w:szCs w:val="18"/>
                <w:highlight w:val="none"/>
              </w:rPr>
            </w:pPr>
          </w:p>
        </w:tc>
      </w:tr>
      <w:tr w14:paraId="5BB8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0" w:hRule="atLeast"/>
        </w:trPr>
        <w:tc>
          <w:tcPr>
            <w:tcW w:w="117" w:type="pct"/>
            <w:gridSpan w:val="2"/>
            <w:vMerge w:val="continue"/>
            <w:shd w:val="clear" w:color="auto" w:fill="auto"/>
            <w:tcMar>
              <w:top w:w="15" w:type="dxa"/>
              <w:left w:w="15" w:type="dxa"/>
              <w:right w:w="15" w:type="dxa"/>
            </w:tcMar>
            <w:vAlign w:val="center"/>
          </w:tcPr>
          <w:p w14:paraId="6AB75107">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3A2BFD5A">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321854DC">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63D21B12">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77683DF9">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1624846E">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倾倒、抛洒、堆放城市建筑垃圾10平方米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或5立方米</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1D8A4B8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给予警告，并对单位处</w:t>
            </w:r>
            <w:r>
              <w:rPr>
                <w:rFonts w:hint="default" w:ascii="Times New Roman" w:hAnsi="Times New Roman" w:cs="Times New Roman" w:eastAsiaTheme="minorEastAsia"/>
                <w:color w:val="auto"/>
                <w:kern w:val="0"/>
                <w:sz w:val="18"/>
                <w:szCs w:val="18"/>
                <w:highlight w:val="none"/>
                <w:lang w:val="en-US" w:eastAsia="zh-CN"/>
              </w:rPr>
              <w:t>3.65</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5万</w:t>
            </w:r>
            <w:r>
              <w:rPr>
                <w:rFonts w:hint="default" w:ascii="Times New Roman" w:hAnsi="Times New Roman" w:cs="Times New Roman" w:eastAsiaTheme="minorEastAsia"/>
                <w:color w:val="auto"/>
                <w:kern w:val="0"/>
                <w:sz w:val="18"/>
                <w:szCs w:val="18"/>
                <w:highlight w:val="none"/>
              </w:rPr>
              <w:t>元以下罚款，对个人处</w:t>
            </w:r>
            <w:r>
              <w:rPr>
                <w:rFonts w:hint="default" w:ascii="Times New Roman" w:hAnsi="Times New Roman" w:cs="Times New Roman" w:eastAsiaTheme="minorEastAsia"/>
                <w:color w:val="auto"/>
                <w:kern w:val="0"/>
                <w:sz w:val="18"/>
                <w:szCs w:val="18"/>
                <w:highlight w:val="none"/>
                <w:lang w:val="en-US" w:eastAsia="zh-CN"/>
              </w:rPr>
              <w:t>140</w:t>
            </w:r>
            <w:r>
              <w:rPr>
                <w:rFonts w:hint="default" w:ascii="Times New Roman" w:hAnsi="Times New Roman" w:cs="Times New Roman" w:eastAsiaTheme="minorEastAsia"/>
                <w:color w:val="auto"/>
                <w:kern w:val="0"/>
                <w:sz w:val="18"/>
                <w:szCs w:val="18"/>
                <w:highlight w:val="none"/>
              </w:rPr>
              <w:t>元以上200元以下罚款</w:t>
            </w:r>
          </w:p>
        </w:tc>
        <w:tc>
          <w:tcPr>
            <w:tcW w:w="200" w:type="pct"/>
            <w:gridSpan w:val="2"/>
            <w:vMerge w:val="continue"/>
            <w:shd w:val="clear" w:color="auto" w:fill="auto"/>
            <w:tcMar>
              <w:top w:w="15" w:type="dxa"/>
              <w:left w:w="15" w:type="dxa"/>
              <w:right w:w="15" w:type="dxa"/>
            </w:tcMar>
            <w:vAlign w:val="center"/>
          </w:tcPr>
          <w:p w14:paraId="3BE3DB8C">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07DBDC10">
            <w:pPr>
              <w:shd w:val="clear"/>
              <w:jc w:val="left"/>
              <w:rPr>
                <w:rFonts w:hint="default" w:ascii="Times New Roman" w:hAnsi="Times New Roman" w:cs="Times New Roman" w:eastAsiaTheme="minorEastAsia"/>
                <w:color w:val="auto"/>
                <w:sz w:val="18"/>
                <w:szCs w:val="18"/>
                <w:highlight w:val="none"/>
              </w:rPr>
            </w:pPr>
          </w:p>
        </w:tc>
      </w:tr>
      <w:tr w14:paraId="3AC7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0" w:hRule="atLeast"/>
        </w:trPr>
        <w:tc>
          <w:tcPr>
            <w:tcW w:w="117" w:type="pct"/>
            <w:gridSpan w:val="2"/>
            <w:vMerge w:val="restart"/>
            <w:shd w:val="clear" w:color="auto" w:fill="auto"/>
            <w:tcMar>
              <w:top w:w="15" w:type="dxa"/>
              <w:left w:w="15" w:type="dxa"/>
              <w:right w:w="15" w:type="dxa"/>
            </w:tcMar>
            <w:vAlign w:val="center"/>
          </w:tcPr>
          <w:p w14:paraId="0AE5D29B">
            <w:pPr>
              <w:shd w:val="clear"/>
              <w:jc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sz w:val="18"/>
                <w:szCs w:val="18"/>
                <w:highlight w:val="none"/>
                <w:lang w:val="en-US" w:eastAsia="zh-CN"/>
              </w:rPr>
              <w:t>48</w:t>
            </w:r>
          </w:p>
        </w:tc>
        <w:tc>
          <w:tcPr>
            <w:tcW w:w="411" w:type="pct"/>
            <w:gridSpan w:val="2"/>
            <w:vMerge w:val="restart"/>
            <w:shd w:val="clear" w:color="auto" w:fill="auto"/>
            <w:tcMar>
              <w:top w:w="15" w:type="dxa"/>
              <w:left w:w="15" w:type="dxa"/>
              <w:right w:w="15" w:type="dxa"/>
            </w:tcMar>
            <w:vAlign w:val="center"/>
          </w:tcPr>
          <w:p w14:paraId="7E5AED79">
            <w:pPr>
              <w:shd w:val="clear"/>
              <w:jc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工程施工单位擅自倾倒、抛撒或者堆放工程施工过程中产生的建筑垃圾</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0F71584A">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《中华人民共和国固体废物污染环境防治法》第六十三条第三款：“工程施工单位不得擅自倾倒、抛撒或者堆放工程施工过程中产生的建筑垃圾。”</w:t>
            </w:r>
          </w:p>
        </w:tc>
        <w:tc>
          <w:tcPr>
            <w:tcW w:w="1314" w:type="pct"/>
            <w:gridSpan w:val="2"/>
            <w:vMerge w:val="restart"/>
            <w:shd w:val="clear" w:color="auto" w:fill="auto"/>
            <w:tcMar>
              <w:top w:w="15" w:type="dxa"/>
              <w:left w:w="15" w:type="dxa"/>
              <w:right w:w="15" w:type="dxa"/>
            </w:tcMar>
            <w:vAlign w:val="center"/>
          </w:tcPr>
          <w:p w14:paraId="6C271747">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《中华人民共和国固体废物污染环境防治法》第一百一十一条</w:t>
            </w:r>
            <w:r>
              <w:rPr>
                <w:rFonts w:hint="default" w:ascii="Times New Roman" w:hAnsi="Times New Roman" w:cs="Times New Roman" w:eastAsiaTheme="minorEastAsia"/>
                <w:color w:val="auto"/>
                <w:kern w:val="0"/>
                <w:sz w:val="18"/>
                <w:szCs w:val="18"/>
                <w:highlight w:val="none"/>
                <w:lang w:eastAsia="zh-CN"/>
              </w:rPr>
              <w:t>第一款、第二款</w:t>
            </w:r>
            <w:r>
              <w:rPr>
                <w:rFonts w:hint="default" w:ascii="Times New Roman" w:hAnsi="Times New Roman" w:cs="Times New Roman" w:eastAsiaTheme="minorEastAsia"/>
                <w:color w:val="auto"/>
                <w:kern w:val="0"/>
                <w:sz w:val="18"/>
                <w:szCs w:val="18"/>
                <w:highlight w:val="none"/>
              </w:rPr>
              <w:t>：“违反本法规定，有下列行为之一，由县级以上地方人民政府环境卫生主管部门责令改正，处以罚款，没收违法所得：（四）工程施工单位擅自倾倒、抛撒或者堆放工程施工过程中产生的建筑垃圾，或者未按照规定对施工过程中产生的固体废物进行利用或者处置的；</w:t>
            </w:r>
          </w:p>
          <w:p w14:paraId="7319AAF1">
            <w:pPr>
              <w:shd w:val="clear"/>
              <w:ind w:firstLine="0" w:firstLineChars="0"/>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单位有前款第一项、第七项行为之一，处五万元以上五十万元以下的罚款；单位有前款第二项、第三项、第四项、第五项、第六项行为之一，处十万元以上一百万元以下的罚款</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w:t>
            </w:r>
          </w:p>
        </w:tc>
        <w:tc>
          <w:tcPr>
            <w:tcW w:w="177" w:type="pct"/>
            <w:gridSpan w:val="2"/>
            <w:shd w:val="clear" w:color="auto" w:fill="auto"/>
            <w:tcMar>
              <w:top w:w="15" w:type="dxa"/>
              <w:left w:w="15" w:type="dxa"/>
              <w:right w:w="15" w:type="dxa"/>
            </w:tcMar>
            <w:vAlign w:val="center"/>
          </w:tcPr>
          <w:p w14:paraId="695EA49D">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27F78CEF">
            <w:pPr>
              <w:widowControl/>
              <w:shd w:val="clea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倾倒、抛撒或者堆放建筑垃圾10</w:t>
            </w:r>
            <w:r>
              <w:rPr>
                <w:rFonts w:hint="default" w:ascii="Times New Roman" w:hAnsi="Times New Roman" w:cs="Times New Roman" w:eastAsiaTheme="minorEastAsia"/>
                <w:color w:val="auto"/>
                <w:kern w:val="0"/>
                <w:sz w:val="18"/>
                <w:szCs w:val="18"/>
                <w:highlight w:val="none"/>
                <w:lang w:val="en-US" w:eastAsia="zh-CN"/>
              </w:rPr>
              <w:t>0</w:t>
            </w:r>
            <w:r>
              <w:rPr>
                <w:rFonts w:hint="default" w:ascii="Times New Roman" w:hAnsi="Times New Roman" w:cs="Times New Roman" w:eastAsiaTheme="minorEastAsia"/>
                <w:color w:val="auto"/>
                <w:kern w:val="0"/>
                <w:sz w:val="18"/>
                <w:szCs w:val="18"/>
                <w:highlight w:val="none"/>
              </w:rPr>
              <w:t>平方米</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rPr>
              <w:t>或5</w:t>
            </w:r>
            <w:r>
              <w:rPr>
                <w:rFonts w:hint="default" w:ascii="Times New Roman" w:hAnsi="Times New Roman" w:cs="Times New Roman" w:eastAsiaTheme="minorEastAsia"/>
                <w:color w:val="auto"/>
                <w:kern w:val="0"/>
                <w:sz w:val="18"/>
                <w:szCs w:val="18"/>
                <w:highlight w:val="none"/>
                <w:lang w:val="en-US" w:eastAsia="zh-CN"/>
              </w:rPr>
              <w:t>0</w:t>
            </w:r>
            <w:r>
              <w:rPr>
                <w:rFonts w:hint="default" w:ascii="Times New Roman" w:hAnsi="Times New Roman" w:cs="Times New Roman" w:eastAsiaTheme="minorEastAsia"/>
                <w:color w:val="auto"/>
                <w:kern w:val="0"/>
                <w:sz w:val="18"/>
                <w:szCs w:val="18"/>
                <w:highlight w:val="none"/>
              </w:rPr>
              <w:t>立方米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06FA008D">
            <w:pPr>
              <w:widowControl/>
              <w:shd w:val="clea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37</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元以下的罚款，没收违法所得</w:t>
            </w:r>
          </w:p>
        </w:tc>
        <w:tc>
          <w:tcPr>
            <w:tcW w:w="200" w:type="pct"/>
            <w:gridSpan w:val="2"/>
            <w:vMerge w:val="restart"/>
            <w:shd w:val="clear" w:color="auto" w:fill="auto"/>
            <w:tcMar>
              <w:top w:w="15" w:type="dxa"/>
              <w:left w:w="15" w:type="dxa"/>
              <w:right w:w="15" w:type="dxa"/>
            </w:tcMar>
            <w:vAlign w:val="center"/>
          </w:tcPr>
          <w:p w14:paraId="4F062994">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责令改正</w:t>
            </w:r>
          </w:p>
          <w:p w14:paraId="6BE6FAAE">
            <w:pPr>
              <w:widowControl/>
              <w:shd w:val="clear"/>
              <w:jc w:val="center"/>
              <w:textAlignment w:val="center"/>
              <w:rPr>
                <w:rFonts w:hint="default" w:ascii="Times New Roman" w:hAnsi="Times New Roman" w:cs="Times New Roman" w:eastAsiaTheme="minorEastAsia"/>
                <w:color w:val="auto"/>
                <w:kern w:val="0"/>
                <w:sz w:val="18"/>
                <w:szCs w:val="18"/>
                <w:highlight w:val="none"/>
              </w:rPr>
            </w:pPr>
          </w:p>
          <w:p w14:paraId="4E4B3FB9">
            <w:pPr>
              <w:widowControl/>
              <w:shd w:val="clear"/>
              <w:jc w:val="center"/>
              <w:textAlignment w:val="center"/>
              <w:rPr>
                <w:rFonts w:hint="default" w:ascii="Times New Roman" w:hAnsi="Times New Roman" w:cs="Times New Roman" w:eastAsiaTheme="minorEastAsia"/>
                <w:color w:val="auto"/>
                <w:kern w:val="0"/>
                <w:sz w:val="18"/>
                <w:szCs w:val="18"/>
                <w:highlight w:val="none"/>
              </w:rPr>
            </w:pPr>
          </w:p>
        </w:tc>
        <w:tc>
          <w:tcPr>
            <w:tcW w:w="390" w:type="pct"/>
            <w:gridSpan w:val="3"/>
            <w:vMerge w:val="restart"/>
            <w:shd w:val="clear" w:color="auto" w:fill="auto"/>
            <w:tcMar>
              <w:top w:w="15" w:type="dxa"/>
              <w:left w:w="15" w:type="dxa"/>
              <w:right w:w="15" w:type="dxa"/>
            </w:tcMar>
            <w:vAlign w:val="center"/>
          </w:tcPr>
          <w:p w14:paraId="15009E7E">
            <w:pPr>
              <w:shd w:val="clear"/>
              <w:jc w:val="both"/>
              <w:rPr>
                <w:rFonts w:hint="default" w:ascii="Times New Roman" w:hAnsi="Times New Roman" w:cs="Times New Roman" w:eastAsiaTheme="minorEastAsia"/>
                <w:color w:val="auto"/>
                <w:sz w:val="18"/>
                <w:szCs w:val="18"/>
                <w:highlight w:val="none"/>
                <w:lang w:val="en-US" w:eastAsia="zh-CN"/>
              </w:rPr>
            </w:pPr>
          </w:p>
        </w:tc>
      </w:tr>
      <w:tr w14:paraId="4AC3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0" w:hRule="atLeast"/>
        </w:trPr>
        <w:tc>
          <w:tcPr>
            <w:tcW w:w="117" w:type="pct"/>
            <w:gridSpan w:val="2"/>
            <w:vMerge w:val="continue"/>
            <w:shd w:val="clear" w:color="auto" w:fill="auto"/>
            <w:tcMar>
              <w:top w:w="15" w:type="dxa"/>
              <w:left w:w="15" w:type="dxa"/>
              <w:right w:w="15" w:type="dxa"/>
            </w:tcMar>
            <w:vAlign w:val="center"/>
          </w:tcPr>
          <w:p w14:paraId="482B8373">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76A24966">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350DDBB">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51B77F26">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2F4AF6CF">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5FB35E84">
            <w:pPr>
              <w:widowControl/>
              <w:shd w:val="clear"/>
              <w:textAlignment w:val="center"/>
              <w:rPr>
                <w:rFonts w:hint="default" w:ascii="Times New Roman" w:hAnsi="Times New Roman" w:cs="Times New Roman" w:eastAsiaTheme="minorEastAsia"/>
                <w:color w:val="auto"/>
                <w:kern w:val="0"/>
                <w:sz w:val="18"/>
                <w:szCs w:val="18"/>
                <w:highlight w:val="none"/>
                <w:lang w:val="en-US"/>
              </w:rPr>
            </w:pPr>
            <w:r>
              <w:rPr>
                <w:rFonts w:hint="default" w:ascii="Times New Roman" w:hAnsi="Times New Roman" w:cs="Times New Roman" w:eastAsiaTheme="minorEastAsia"/>
                <w:color w:val="auto"/>
                <w:kern w:val="0"/>
                <w:sz w:val="18"/>
                <w:szCs w:val="18"/>
                <w:highlight w:val="none"/>
              </w:rPr>
              <w:t>倾倒、抛撒或者堆放建筑垃圾10</w:t>
            </w:r>
            <w:r>
              <w:rPr>
                <w:rFonts w:hint="default" w:ascii="Times New Roman" w:hAnsi="Times New Roman" w:cs="Times New Roman" w:eastAsiaTheme="minorEastAsia"/>
                <w:color w:val="auto"/>
                <w:kern w:val="0"/>
                <w:sz w:val="18"/>
                <w:szCs w:val="18"/>
                <w:highlight w:val="none"/>
                <w:lang w:val="en-US" w:eastAsia="zh-CN"/>
              </w:rPr>
              <w:t>0</w:t>
            </w:r>
            <w:r>
              <w:rPr>
                <w:rFonts w:hint="default" w:ascii="Times New Roman" w:hAnsi="Times New Roman" w:cs="Times New Roman" w:eastAsiaTheme="minorEastAsia"/>
                <w:color w:val="auto"/>
                <w:kern w:val="0"/>
                <w:sz w:val="18"/>
                <w:szCs w:val="18"/>
                <w:highlight w:val="none"/>
              </w:rPr>
              <w:t>平方米</w:t>
            </w:r>
            <w:r>
              <w:rPr>
                <w:rFonts w:hint="default" w:ascii="Times New Roman" w:hAnsi="Times New Roman" w:cs="Times New Roman" w:eastAsiaTheme="minorEastAsia"/>
                <w:color w:val="auto"/>
                <w:kern w:val="0"/>
                <w:sz w:val="18"/>
                <w:szCs w:val="18"/>
                <w:highlight w:val="none"/>
                <w:lang w:eastAsia="zh-CN"/>
              </w:rPr>
              <w:t>以上200平方米以下</w:t>
            </w:r>
            <w:r>
              <w:rPr>
                <w:rFonts w:hint="default" w:ascii="Times New Roman" w:hAnsi="Times New Roman" w:cs="Times New Roman" w:eastAsiaTheme="minorEastAsia"/>
                <w:color w:val="auto"/>
                <w:kern w:val="0"/>
                <w:sz w:val="18"/>
                <w:szCs w:val="18"/>
                <w:highlight w:val="none"/>
              </w:rPr>
              <w:t>或5</w:t>
            </w:r>
            <w:r>
              <w:rPr>
                <w:rFonts w:hint="default" w:ascii="Times New Roman" w:hAnsi="Times New Roman" w:cs="Times New Roman" w:eastAsiaTheme="minorEastAsia"/>
                <w:color w:val="auto"/>
                <w:kern w:val="0"/>
                <w:sz w:val="18"/>
                <w:szCs w:val="18"/>
                <w:highlight w:val="none"/>
                <w:lang w:val="en-US" w:eastAsia="zh-CN"/>
              </w:rPr>
              <w:t>0</w:t>
            </w:r>
            <w:r>
              <w:rPr>
                <w:rFonts w:hint="default" w:ascii="Times New Roman" w:hAnsi="Times New Roman" w:cs="Times New Roman" w:eastAsiaTheme="minorEastAsia"/>
                <w:color w:val="auto"/>
                <w:kern w:val="0"/>
                <w:sz w:val="18"/>
                <w:szCs w:val="18"/>
                <w:highlight w:val="none"/>
              </w:rPr>
              <w:t>立方米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10</w:t>
            </w:r>
            <w:r>
              <w:rPr>
                <w:rFonts w:hint="default" w:ascii="Times New Roman" w:hAnsi="Times New Roman" w:cs="Times New Roman" w:eastAsiaTheme="minorEastAsia"/>
                <w:color w:val="auto"/>
                <w:kern w:val="0"/>
                <w:sz w:val="18"/>
                <w:szCs w:val="18"/>
                <w:highlight w:val="none"/>
                <w:lang w:val="en-US" w:eastAsia="zh-CN"/>
              </w:rPr>
              <w:t>0</w:t>
            </w:r>
            <w:r>
              <w:rPr>
                <w:rFonts w:hint="default" w:ascii="Times New Roman" w:hAnsi="Times New Roman" w:cs="Times New Roman" w:eastAsiaTheme="minorEastAsia"/>
                <w:color w:val="auto"/>
                <w:kern w:val="0"/>
                <w:sz w:val="18"/>
                <w:szCs w:val="18"/>
                <w:highlight w:val="none"/>
              </w:rPr>
              <w:t>立方米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6950D466">
            <w:pPr>
              <w:widowControl/>
              <w:shd w:val="clea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37</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元以下的罚款，没收违法所得</w:t>
            </w:r>
          </w:p>
        </w:tc>
        <w:tc>
          <w:tcPr>
            <w:tcW w:w="200" w:type="pct"/>
            <w:gridSpan w:val="2"/>
            <w:vMerge w:val="continue"/>
            <w:shd w:val="clear" w:color="auto" w:fill="auto"/>
            <w:tcMar>
              <w:top w:w="15" w:type="dxa"/>
              <w:left w:w="15" w:type="dxa"/>
              <w:right w:w="15" w:type="dxa"/>
            </w:tcMar>
            <w:vAlign w:val="center"/>
          </w:tcPr>
          <w:p w14:paraId="5652903A">
            <w:pPr>
              <w:widowControl/>
              <w:shd w:val="clear"/>
              <w:jc w:val="center"/>
              <w:textAlignment w:val="center"/>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029A1F60">
            <w:pPr>
              <w:shd w:val="clear"/>
              <w:jc w:val="center"/>
              <w:rPr>
                <w:rFonts w:hint="default" w:ascii="Times New Roman" w:hAnsi="Times New Roman" w:cs="Times New Roman" w:eastAsiaTheme="minorEastAsia"/>
                <w:color w:val="auto"/>
                <w:sz w:val="18"/>
                <w:szCs w:val="18"/>
                <w:highlight w:val="none"/>
              </w:rPr>
            </w:pPr>
          </w:p>
        </w:tc>
      </w:tr>
      <w:tr w14:paraId="4F60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0" w:hRule="atLeast"/>
        </w:trPr>
        <w:tc>
          <w:tcPr>
            <w:tcW w:w="117" w:type="pct"/>
            <w:gridSpan w:val="2"/>
            <w:vMerge w:val="continue"/>
            <w:shd w:val="clear" w:color="auto" w:fill="auto"/>
            <w:tcMar>
              <w:top w:w="15" w:type="dxa"/>
              <w:left w:w="15" w:type="dxa"/>
              <w:right w:w="15" w:type="dxa"/>
            </w:tcMar>
            <w:vAlign w:val="center"/>
          </w:tcPr>
          <w:p w14:paraId="64506052">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49604B37">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72F90495">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412D3149">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04E5DE55">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48946B1A">
            <w:pPr>
              <w:widowControl/>
              <w:shd w:val="clea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倾倒、抛撒或者堆放建筑垃圾200平方米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或100立方米</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0303C27A">
            <w:pPr>
              <w:widowControl/>
              <w:shd w:val="clea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73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100万</w:t>
            </w:r>
            <w:r>
              <w:rPr>
                <w:rFonts w:hint="default" w:ascii="Times New Roman" w:hAnsi="Times New Roman" w:cs="Times New Roman" w:eastAsiaTheme="minorEastAsia"/>
                <w:color w:val="auto"/>
                <w:kern w:val="0"/>
                <w:sz w:val="18"/>
                <w:szCs w:val="18"/>
                <w:highlight w:val="none"/>
              </w:rPr>
              <w:t>元以下的罚款，没收违法所得</w:t>
            </w:r>
          </w:p>
        </w:tc>
        <w:tc>
          <w:tcPr>
            <w:tcW w:w="200" w:type="pct"/>
            <w:gridSpan w:val="2"/>
            <w:vMerge w:val="continue"/>
            <w:shd w:val="clear" w:color="auto" w:fill="auto"/>
            <w:tcMar>
              <w:top w:w="15" w:type="dxa"/>
              <w:left w:w="15" w:type="dxa"/>
              <w:right w:w="15" w:type="dxa"/>
            </w:tcMar>
            <w:vAlign w:val="center"/>
          </w:tcPr>
          <w:p w14:paraId="1F89F5C7">
            <w:pPr>
              <w:widowControl/>
              <w:shd w:val="clear"/>
              <w:jc w:val="center"/>
              <w:textAlignment w:val="center"/>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7E156AB8">
            <w:pPr>
              <w:shd w:val="clear"/>
              <w:jc w:val="center"/>
              <w:rPr>
                <w:rFonts w:hint="default" w:ascii="Times New Roman" w:hAnsi="Times New Roman" w:cs="Times New Roman" w:eastAsiaTheme="minorEastAsia"/>
                <w:color w:val="auto"/>
                <w:sz w:val="18"/>
                <w:szCs w:val="18"/>
                <w:highlight w:val="none"/>
              </w:rPr>
            </w:pPr>
          </w:p>
        </w:tc>
      </w:tr>
      <w:tr w14:paraId="744A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trPr>
        <w:tc>
          <w:tcPr>
            <w:tcW w:w="117" w:type="pct"/>
            <w:gridSpan w:val="2"/>
            <w:vMerge w:val="restart"/>
            <w:shd w:val="clear" w:color="auto" w:fill="auto"/>
            <w:tcMar>
              <w:top w:w="15" w:type="dxa"/>
              <w:left w:w="15" w:type="dxa"/>
              <w:right w:w="15" w:type="dxa"/>
            </w:tcMar>
            <w:vAlign w:val="center"/>
          </w:tcPr>
          <w:p w14:paraId="3C1900D1">
            <w:pPr>
              <w:shd w:val="clear"/>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49</w:t>
            </w:r>
          </w:p>
        </w:tc>
        <w:tc>
          <w:tcPr>
            <w:tcW w:w="411" w:type="pct"/>
            <w:gridSpan w:val="2"/>
            <w:vMerge w:val="restart"/>
            <w:shd w:val="clear" w:color="auto" w:fill="auto"/>
            <w:tcMar>
              <w:top w:w="15" w:type="dxa"/>
              <w:left w:w="15" w:type="dxa"/>
              <w:right w:w="15" w:type="dxa"/>
            </w:tcMar>
            <w:vAlign w:val="center"/>
          </w:tcPr>
          <w:p w14:paraId="042194E7">
            <w:pPr>
              <w:shd w:val="clear"/>
              <w:jc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sz w:val="18"/>
                <w:szCs w:val="18"/>
                <w:highlight w:val="none"/>
              </w:rPr>
              <w:t>工程施工单位未按照规定对施工过程中产生的固体废物进行利用或者处置</w:t>
            </w:r>
            <w:r>
              <w:rPr>
                <w:rFonts w:hint="default" w:ascii="Times New Roman" w:hAnsi="Times New Roman" w:cs="Times New Roman" w:eastAsiaTheme="minorEastAsia"/>
                <w:color w:val="auto"/>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56B31F5C">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《中华人民共和国固体废物污染环境防治法》第六十三条第二款：“工程施工单位应当及时清运工程施工过程中产生的建筑垃圾等固体废物，并按照环境卫生主管部门的规定进行利用或者处置。”</w:t>
            </w:r>
          </w:p>
        </w:tc>
        <w:tc>
          <w:tcPr>
            <w:tcW w:w="1314" w:type="pct"/>
            <w:gridSpan w:val="2"/>
            <w:vMerge w:val="restart"/>
            <w:shd w:val="clear" w:color="auto" w:fill="auto"/>
            <w:tcMar>
              <w:top w:w="15" w:type="dxa"/>
              <w:left w:w="15" w:type="dxa"/>
              <w:right w:w="15" w:type="dxa"/>
            </w:tcMar>
            <w:vAlign w:val="center"/>
          </w:tcPr>
          <w:p w14:paraId="56C30039">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《中华人民共和国固体废物污染环境防治法》第一百一十一条第一</w:t>
            </w:r>
            <w:r>
              <w:rPr>
                <w:rFonts w:hint="default" w:ascii="Times New Roman" w:hAnsi="Times New Roman" w:cs="Times New Roman" w:eastAsiaTheme="minorEastAsia"/>
                <w:color w:val="auto"/>
                <w:sz w:val="18"/>
                <w:szCs w:val="18"/>
                <w:highlight w:val="none"/>
                <w:lang w:eastAsia="zh-CN"/>
              </w:rPr>
              <w:t>款</w:t>
            </w:r>
            <w:r>
              <w:rPr>
                <w:rFonts w:hint="default" w:ascii="Times New Roman" w:hAnsi="Times New Roman" w:cs="Times New Roman" w:eastAsiaTheme="minorEastAsia"/>
                <w:color w:val="auto"/>
                <w:sz w:val="18"/>
                <w:szCs w:val="18"/>
                <w:highlight w:val="none"/>
              </w:rPr>
              <w:t>、第二款：“违反本法规定，有下列行为之一，由县级以上地方人民政府环境卫生主管部门责令改正，处以罚款，没收违法所得：（四）工程施工单位擅自倾倒、抛撒或者堆放工程施工过程中产生的建筑垃圾，或者未按照规定对施工过程中产生的固体废物进行利用或者处置的；</w:t>
            </w:r>
          </w:p>
          <w:p w14:paraId="46C4B904">
            <w:pPr>
              <w:shd w:val="clear"/>
              <w:ind w:firstLine="0" w:firstLineChars="0"/>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单位有前款第一项、第七项行为之一，处五万元以上五十万元以下的罚款；单位有前款第二项、第三项、第四项、第五项、第六项行为之一，处十万元以上一百万元以下的罚款</w:t>
            </w:r>
            <w:r>
              <w:rPr>
                <w:rFonts w:hint="default" w:ascii="Times New Roman" w:hAnsi="Times New Roman" w:cs="Times New Roman" w:eastAsiaTheme="minorEastAsia"/>
                <w:color w:val="auto"/>
                <w:sz w:val="18"/>
                <w:szCs w:val="18"/>
                <w:highlight w:val="none"/>
                <w:lang w:eastAsia="zh-CN"/>
              </w:rPr>
              <w:t>……</w:t>
            </w:r>
            <w:r>
              <w:rPr>
                <w:rFonts w:hint="default" w:ascii="Times New Roman" w:hAnsi="Times New Roman" w:cs="Times New Roman" w:eastAsiaTheme="minorEastAsia"/>
                <w:color w:val="auto"/>
                <w:sz w:val="18"/>
                <w:szCs w:val="18"/>
                <w:highlight w:val="none"/>
              </w:rPr>
              <w:t>”</w:t>
            </w:r>
          </w:p>
        </w:tc>
        <w:tc>
          <w:tcPr>
            <w:tcW w:w="177" w:type="pct"/>
            <w:gridSpan w:val="2"/>
            <w:shd w:val="clear" w:color="auto" w:fill="auto"/>
            <w:tcMar>
              <w:top w:w="15" w:type="dxa"/>
              <w:left w:w="15" w:type="dxa"/>
              <w:right w:w="15" w:type="dxa"/>
            </w:tcMar>
            <w:vAlign w:val="center"/>
          </w:tcPr>
          <w:p w14:paraId="547D7344">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eastAsia" w:ascii="Times New Roman" w:hAnsi="Times New Roman" w:cs="Times New Roman"/>
                <w:color w:val="auto"/>
                <w:kern w:val="0"/>
                <w:sz w:val="18"/>
                <w:szCs w:val="18"/>
                <w:highlight w:val="none"/>
                <w:lang w:val="en-US" w:eastAsia="zh-CN"/>
              </w:rPr>
              <w:t>轻微</w:t>
            </w:r>
          </w:p>
        </w:tc>
        <w:tc>
          <w:tcPr>
            <w:tcW w:w="533" w:type="pct"/>
            <w:gridSpan w:val="3"/>
            <w:shd w:val="clear" w:color="auto" w:fill="auto"/>
            <w:tcMar>
              <w:top w:w="15" w:type="dxa"/>
              <w:left w:w="15" w:type="dxa"/>
              <w:right w:w="15" w:type="dxa"/>
            </w:tcMar>
            <w:vAlign w:val="center"/>
          </w:tcPr>
          <w:p w14:paraId="68518683">
            <w:pPr>
              <w:widowControl/>
              <w:shd w:val="clea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未按照规定进行利用或者处置的固体废物</w:t>
            </w:r>
            <w:r>
              <w:rPr>
                <w:rFonts w:hint="default" w:ascii="Times New Roman" w:hAnsi="Times New Roman" w:cs="Times New Roman" w:eastAsiaTheme="minorEastAsia"/>
                <w:color w:val="auto"/>
                <w:kern w:val="0"/>
                <w:sz w:val="18"/>
                <w:szCs w:val="18"/>
                <w:highlight w:val="none"/>
                <w:lang w:val="en-US" w:eastAsia="zh-CN"/>
              </w:rPr>
              <w:t>30立方米以下</w:t>
            </w:r>
          </w:p>
        </w:tc>
        <w:tc>
          <w:tcPr>
            <w:tcW w:w="545" w:type="pct"/>
            <w:gridSpan w:val="2"/>
            <w:shd w:val="clear" w:color="auto" w:fill="auto"/>
            <w:tcMar>
              <w:top w:w="15" w:type="dxa"/>
              <w:left w:w="15" w:type="dxa"/>
              <w:right w:w="15" w:type="dxa"/>
            </w:tcMar>
            <w:vAlign w:val="center"/>
          </w:tcPr>
          <w:p w14:paraId="134A9977">
            <w:pPr>
              <w:widowControl/>
              <w:shd w:val="clea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10万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37万</w:t>
            </w:r>
            <w:r>
              <w:rPr>
                <w:rFonts w:hint="default" w:ascii="Times New Roman" w:hAnsi="Times New Roman" w:cs="Times New Roman" w:eastAsiaTheme="minorEastAsia"/>
                <w:color w:val="auto"/>
                <w:kern w:val="0"/>
                <w:sz w:val="18"/>
                <w:szCs w:val="18"/>
                <w:highlight w:val="none"/>
              </w:rPr>
              <w:t>元以下的罚款，没收违法所得</w:t>
            </w:r>
          </w:p>
        </w:tc>
        <w:tc>
          <w:tcPr>
            <w:tcW w:w="200" w:type="pct"/>
            <w:gridSpan w:val="2"/>
            <w:vMerge w:val="restart"/>
            <w:shd w:val="clear" w:color="auto" w:fill="auto"/>
            <w:tcMar>
              <w:top w:w="15" w:type="dxa"/>
              <w:left w:w="15" w:type="dxa"/>
              <w:right w:w="15" w:type="dxa"/>
            </w:tcMar>
            <w:vAlign w:val="center"/>
          </w:tcPr>
          <w:p w14:paraId="73E2510B">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责令改正</w:t>
            </w:r>
          </w:p>
        </w:tc>
        <w:tc>
          <w:tcPr>
            <w:tcW w:w="390" w:type="pct"/>
            <w:gridSpan w:val="3"/>
            <w:vMerge w:val="restart"/>
            <w:shd w:val="clear" w:color="auto" w:fill="auto"/>
            <w:tcMar>
              <w:top w:w="15" w:type="dxa"/>
              <w:left w:w="15" w:type="dxa"/>
              <w:right w:w="15" w:type="dxa"/>
            </w:tcMar>
            <w:vAlign w:val="center"/>
          </w:tcPr>
          <w:p w14:paraId="1522EE31">
            <w:pPr>
              <w:shd w:val="clear"/>
              <w:jc w:val="center"/>
              <w:rPr>
                <w:rFonts w:hint="default" w:ascii="Times New Roman" w:hAnsi="Times New Roman" w:cs="Times New Roman" w:eastAsiaTheme="minorEastAsia"/>
                <w:color w:val="auto"/>
                <w:sz w:val="18"/>
                <w:szCs w:val="18"/>
                <w:highlight w:val="none"/>
                <w:lang w:val="en-US" w:eastAsia="zh-CN"/>
              </w:rPr>
            </w:pPr>
          </w:p>
        </w:tc>
      </w:tr>
      <w:tr w14:paraId="7429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trPr>
        <w:tc>
          <w:tcPr>
            <w:tcW w:w="117" w:type="pct"/>
            <w:gridSpan w:val="2"/>
            <w:vMerge w:val="continue"/>
            <w:shd w:val="clear" w:color="auto" w:fill="auto"/>
            <w:tcMar>
              <w:top w:w="15" w:type="dxa"/>
              <w:left w:w="15" w:type="dxa"/>
              <w:right w:w="15" w:type="dxa"/>
            </w:tcMar>
            <w:vAlign w:val="center"/>
          </w:tcPr>
          <w:p w14:paraId="7B745A66">
            <w:pPr>
              <w:shd w:val="clear"/>
              <w:jc w:val="center"/>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55162E36">
            <w:pPr>
              <w:shd w:val="clear"/>
              <w:jc w:val="center"/>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4BFCE2BC">
            <w:pPr>
              <w:shd w:val="clear"/>
              <w:jc w:val="center"/>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53CA5706">
            <w:pPr>
              <w:shd w:val="clear"/>
              <w:jc w:val="center"/>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007E6B8B">
            <w:pPr>
              <w:shd w:val="clear"/>
              <w:jc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tcMar>
              <w:top w:w="15" w:type="dxa"/>
              <w:left w:w="15" w:type="dxa"/>
              <w:right w:w="15" w:type="dxa"/>
            </w:tcMar>
            <w:vAlign w:val="center"/>
          </w:tcPr>
          <w:p w14:paraId="14D30449">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未按照规定进行利用或者处置的固体废物</w:t>
            </w:r>
            <w:r>
              <w:rPr>
                <w:rFonts w:hint="default" w:ascii="Times New Roman" w:hAnsi="Times New Roman" w:cs="Times New Roman" w:eastAsiaTheme="minorEastAsia"/>
                <w:color w:val="auto"/>
                <w:kern w:val="0"/>
                <w:sz w:val="18"/>
                <w:szCs w:val="18"/>
                <w:highlight w:val="none"/>
                <w:lang w:val="en-US" w:eastAsia="zh-CN"/>
              </w:rPr>
              <w:t>30立方米以上50立方米以下</w:t>
            </w:r>
          </w:p>
        </w:tc>
        <w:tc>
          <w:tcPr>
            <w:tcW w:w="545" w:type="pct"/>
            <w:gridSpan w:val="2"/>
            <w:shd w:val="clear" w:color="auto" w:fill="auto"/>
            <w:tcMar>
              <w:top w:w="15" w:type="dxa"/>
              <w:left w:w="15" w:type="dxa"/>
              <w:right w:w="15" w:type="dxa"/>
            </w:tcMar>
            <w:vAlign w:val="center"/>
          </w:tcPr>
          <w:p w14:paraId="0D156279">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37万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73万</w:t>
            </w:r>
            <w:r>
              <w:rPr>
                <w:rFonts w:hint="default" w:ascii="Times New Roman" w:hAnsi="Times New Roman" w:cs="Times New Roman" w:eastAsiaTheme="minorEastAsia"/>
                <w:color w:val="auto"/>
                <w:kern w:val="0"/>
                <w:sz w:val="18"/>
                <w:szCs w:val="18"/>
                <w:highlight w:val="none"/>
              </w:rPr>
              <w:t>元以下的罚款，没收违法所得</w:t>
            </w:r>
          </w:p>
        </w:tc>
        <w:tc>
          <w:tcPr>
            <w:tcW w:w="200" w:type="pct"/>
            <w:gridSpan w:val="2"/>
            <w:vMerge w:val="continue"/>
            <w:shd w:val="clear" w:color="auto" w:fill="auto"/>
            <w:tcMar>
              <w:top w:w="15" w:type="dxa"/>
              <w:left w:w="15" w:type="dxa"/>
              <w:right w:w="15" w:type="dxa"/>
            </w:tcMar>
            <w:vAlign w:val="center"/>
          </w:tcPr>
          <w:p w14:paraId="61A061F6">
            <w:pPr>
              <w:shd w:val="clear"/>
              <w:jc w:val="center"/>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3809DC13">
            <w:pPr>
              <w:shd w:val="clear"/>
              <w:jc w:val="center"/>
              <w:rPr>
                <w:rFonts w:hint="default" w:ascii="Times New Roman" w:hAnsi="Times New Roman" w:cs="Times New Roman" w:eastAsiaTheme="minorEastAsia"/>
                <w:color w:val="auto"/>
                <w:kern w:val="0"/>
                <w:sz w:val="18"/>
                <w:szCs w:val="18"/>
                <w:highlight w:val="none"/>
              </w:rPr>
            </w:pPr>
          </w:p>
        </w:tc>
      </w:tr>
      <w:tr w14:paraId="583E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trPr>
        <w:tc>
          <w:tcPr>
            <w:tcW w:w="117" w:type="pct"/>
            <w:gridSpan w:val="2"/>
            <w:vMerge w:val="continue"/>
            <w:shd w:val="clear" w:color="auto" w:fill="auto"/>
            <w:tcMar>
              <w:top w:w="15" w:type="dxa"/>
              <w:left w:w="15" w:type="dxa"/>
              <w:right w:w="15" w:type="dxa"/>
            </w:tcMar>
            <w:vAlign w:val="center"/>
          </w:tcPr>
          <w:p w14:paraId="2096AD14">
            <w:pPr>
              <w:shd w:val="clear"/>
              <w:jc w:val="center"/>
              <w:rPr>
                <w:rFonts w:hint="default" w:ascii="Times New Roman" w:hAnsi="Times New Roman" w:cs="Times New Roman" w:eastAsiaTheme="minorEastAsia"/>
                <w:color w:val="auto"/>
                <w:kern w:val="0"/>
                <w:sz w:val="18"/>
                <w:szCs w:val="18"/>
                <w:highlight w:val="none"/>
              </w:rPr>
            </w:pPr>
          </w:p>
        </w:tc>
        <w:tc>
          <w:tcPr>
            <w:tcW w:w="411" w:type="pct"/>
            <w:gridSpan w:val="2"/>
            <w:vMerge w:val="continue"/>
            <w:shd w:val="clear" w:color="auto" w:fill="auto"/>
            <w:tcMar>
              <w:top w:w="15" w:type="dxa"/>
              <w:left w:w="15" w:type="dxa"/>
              <w:right w:w="15" w:type="dxa"/>
            </w:tcMar>
            <w:vAlign w:val="center"/>
          </w:tcPr>
          <w:p w14:paraId="73D042EF">
            <w:pPr>
              <w:shd w:val="clear"/>
              <w:jc w:val="center"/>
              <w:rPr>
                <w:rFonts w:hint="default" w:ascii="Times New Roman" w:hAnsi="Times New Roman" w:cs="Times New Roman" w:eastAsiaTheme="minorEastAsia"/>
                <w:color w:val="auto"/>
                <w:kern w:val="0"/>
                <w:sz w:val="18"/>
                <w:szCs w:val="18"/>
                <w:highlight w:val="none"/>
              </w:rPr>
            </w:pPr>
          </w:p>
        </w:tc>
        <w:tc>
          <w:tcPr>
            <w:tcW w:w="1310" w:type="pct"/>
            <w:gridSpan w:val="2"/>
            <w:vMerge w:val="continue"/>
            <w:shd w:val="clear" w:color="auto" w:fill="auto"/>
            <w:tcMar>
              <w:top w:w="15" w:type="dxa"/>
              <w:left w:w="15" w:type="dxa"/>
              <w:right w:w="15" w:type="dxa"/>
            </w:tcMar>
            <w:vAlign w:val="center"/>
          </w:tcPr>
          <w:p w14:paraId="2501071C">
            <w:pPr>
              <w:shd w:val="clear"/>
              <w:jc w:val="center"/>
              <w:rPr>
                <w:rFonts w:hint="default" w:ascii="Times New Roman" w:hAnsi="Times New Roman" w:cs="Times New Roman" w:eastAsiaTheme="minorEastAsia"/>
                <w:color w:val="auto"/>
                <w:kern w:val="0"/>
                <w:sz w:val="18"/>
                <w:szCs w:val="18"/>
                <w:highlight w:val="none"/>
              </w:rPr>
            </w:pPr>
          </w:p>
        </w:tc>
        <w:tc>
          <w:tcPr>
            <w:tcW w:w="1314" w:type="pct"/>
            <w:gridSpan w:val="2"/>
            <w:vMerge w:val="continue"/>
            <w:shd w:val="clear" w:color="auto" w:fill="auto"/>
            <w:tcMar>
              <w:top w:w="15" w:type="dxa"/>
              <w:left w:w="15" w:type="dxa"/>
              <w:right w:w="15" w:type="dxa"/>
            </w:tcMar>
            <w:vAlign w:val="center"/>
          </w:tcPr>
          <w:p w14:paraId="0C1C10EE">
            <w:pPr>
              <w:shd w:val="clear"/>
              <w:jc w:val="center"/>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7680DCEF">
            <w:pPr>
              <w:shd w:val="clear"/>
              <w:jc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4AA9666D">
            <w:pPr>
              <w:shd w:val="clear"/>
              <w:jc w:val="left"/>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未按照规定进行利用或者处置的固体废物</w:t>
            </w:r>
            <w:r>
              <w:rPr>
                <w:rFonts w:hint="default" w:ascii="Times New Roman" w:hAnsi="Times New Roman" w:cs="Times New Roman" w:eastAsiaTheme="minorEastAsia"/>
                <w:color w:val="auto"/>
                <w:kern w:val="0"/>
                <w:sz w:val="18"/>
                <w:szCs w:val="18"/>
                <w:highlight w:val="none"/>
                <w:lang w:val="en-US" w:eastAsia="zh-CN"/>
              </w:rPr>
              <w:t>50立方米以上</w:t>
            </w:r>
          </w:p>
        </w:tc>
        <w:tc>
          <w:tcPr>
            <w:tcW w:w="545" w:type="pct"/>
            <w:gridSpan w:val="2"/>
            <w:shd w:val="clear" w:color="auto" w:fill="auto"/>
            <w:tcMar>
              <w:top w:w="15" w:type="dxa"/>
              <w:left w:w="15" w:type="dxa"/>
              <w:right w:w="15" w:type="dxa"/>
            </w:tcMar>
            <w:vAlign w:val="center"/>
          </w:tcPr>
          <w:p w14:paraId="28513954">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73万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100万</w:t>
            </w:r>
            <w:r>
              <w:rPr>
                <w:rFonts w:hint="default" w:ascii="Times New Roman" w:hAnsi="Times New Roman" w:cs="Times New Roman" w:eastAsiaTheme="minorEastAsia"/>
                <w:color w:val="auto"/>
                <w:kern w:val="0"/>
                <w:sz w:val="18"/>
                <w:szCs w:val="18"/>
                <w:highlight w:val="none"/>
              </w:rPr>
              <w:t>元以下的罚款，没收违法所得</w:t>
            </w:r>
          </w:p>
        </w:tc>
        <w:tc>
          <w:tcPr>
            <w:tcW w:w="200" w:type="pct"/>
            <w:gridSpan w:val="2"/>
            <w:vMerge w:val="continue"/>
            <w:shd w:val="clear" w:color="auto" w:fill="auto"/>
            <w:tcMar>
              <w:top w:w="15" w:type="dxa"/>
              <w:left w:w="15" w:type="dxa"/>
              <w:right w:w="15" w:type="dxa"/>
            </w:tcMar>
            <w:vAlign w:val="center"/>
          </w:tcPr>
          <w:p w14:paraId="193F170C">
            <w:pPr>
              <w:shd w:val="clear"/>
              <w:jc w:val="center"/>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0BF01BF2">
            <w:pPr>
              <w:shd w:val="clear"/>
              <w:jc w:val="center"/>
              <w:rPr>
                <w:rFonts w:hint="default" w:ascii="Times New Roman" w:hAnsi="Times New Roman" w:cs="Times New Roman" w:eastAsiaTheme="minorEastAsia"/>
                <w:color w:val="auto"/>
                <w:kern w:val="0"/>
                <w:sz w:val="18"/>
                <w:szCs w:val="18"/>
                <w:highlight w:val="none"/>
              </w:rPr>
            </w:pPr>
          </w:p>
        </w:tc>
      </w:tr>
      <w:tr w14:paraId="2A841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trPr>
        <w:tc>
          <w:tcPr>
            <w:tcW w:w="117" w:type="pct"/>
            <w:gridSpan w:val="2"/>
            <w:vMerge w:val="restart"/>
            <w:shd w:val="clear" w:color="auto" w:fill="auto"/>
            <w:tcMar>
              <w:top w:w="15" w:type="dxa"/>
              <w:left w:w="15" w:type="dxa"/>
              <w:right w:w="15" w:type="dxa"/>
            </w:tcMar>
            <w:vAlign w:val="center"/>
          </w:tcPr>
          <w:p w14:paraId="0788C0CE">
            <w:pPr>
              <w:widowControl/>
              <w:shd w:val="clear"/>
              <w:jc w:val="center"/>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50</w:t>
            </w:r>
          </w:p>
        </w:tc>
        <w:tc>
          <w:tcPr>
            <w:tcW w:w="411" w:type="pct"/>
            <w:gridSpan w:val="2"/>
            <w:vMerge w:val="restart"/>
            <w:shd w:val="clear" w:color="auto" w:fill="auto"/>
            <w:tcMar>
              <w:top w:w="15" w:type="dxa"/>
              <w:left w:w="15" w:type="dxa"/>
              <w:right w:w="15" w:type="dxa"/>
            </w:tcMar>
            <w:vAlign w:val="center"/>
          </w:tcPr>
          <w:p w14:paraId="6B9D8789">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br w:type="textWrapping"/>
            </w:r>
            <w:r>
              <w:rPr>
                <w:rFonts w:hint="default" w:ascii="Times New Roman" w:hAnsi="Times New Roman" w:cs="Times New Roman" w:eastAsiaTheme="minorEastAsia"/>
                <w:color w:val="auto"/>
                <w:kern w:val="0"/>
                <w:sz w:val="18"/>
                <w:szCs w:val="18"/>
                <w:highlight w:val="none"/>
              </w:rPr>
              <w:t>运输液体、散装货物的车辆不作密封、包扎、覆盖，造成泄漏、遗撒</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4CD20AF4">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1.《城市市容和环境卫生管理条例》第十五条:“在市区运行的交通运输工具，应当保持外型完好、整洁，货运车辆运输的液体、散装货物，应当密封、包扎、覆盖，避免泄漏、遗撒。”</w:t>
            </w:r>
          </w:p>
          <w:p w14:paraId="4305045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2.《东莞市环境卫生管理规定》第二十八条第一款：“禁止实施下列影响公共环境卫生的行为：（四）运输液体、散装货物的车辆不作密封、包扎、覆盖，造成泄漏、遗撒；”</w:t>
            </w:r>
          </w:p>
        </w:tc>
        <w:tc>
          <w:tcPr>
            <w:tcW w:w="1314" w:type="pct"/>
            <w:gridSpan w:val="2"/>
            <w:vMerge w:val="restart"/>
            <w:shd w:val="clear" w:color="auto" w:fill="auto"/>
            <w:tcMar>
              <w:top w:w="15" w:type="dxa"/>
              <w:left w:w="15" w:type="dxa"/>
              <w:right w:w="15" w:type="dxa"/>
            </w:tcMar>
            <w:vAlign w:val="center"/>
          </w:tcPr>
          <w:p w14:paraId="3591CED3">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1.《城市市容和环境卫生管理条例》第三十四条</w:t>
            </w:r>
            <w:r>
              <w:rPr>
                <w:rFonts w:hint="default" w:ascii="Times New Roman" w:hAnsi="Times New Roman" w:cs="Times New Roman" w:eastAsiaTheme="minorEastAsia"/>
                <w:color w:val="auto"/>
                <w:kern w:val="0"/>
                <w:sz w:val="18"/>
                <w:szCs w:val="18"/>
                <w:highlight w:val="none"/>
                <w:lang w:eastAsia="zh-CN"/>
              </w:rPr>
              <w:t>第六项</w:t>
            </w:r>
            <w:r>
              <w:rPr>
                <w:rFonts w:hint="default" w:ascii="Times New Roman" w:hAnsi="Times New Roman" w:cs="Times New Roman" w:eastAsiaTheme="minorEastAsia"/>
                <w:color w:val="auto"/>
                <w:kern w:val="0"/>
                <w:sz w:val="18"/>
                <w:szCs w:val="18"/>
                <w:highlight w:val="none"/>
              </w:rPr>
              <w:t>：“有下列行为之一者，城市人民政府市容环境卫生行政主管部门或者其委托的单位除责令其纠正违法行为、采取补救措施外，可以并处警告、罚款：（六）运输液体、散装货物不作密封、包扎、覆盖，造成泄漏、遗撒的；”</w:t>
            </w:r>
          </w:p>
          <w:p w14:paraId="4AC622C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2.《东莞市环境卫生管理规定》第五十二条：“违反第二十八条规定，影响公共环境卫生的，由环境卫生主管部门按下列规定予以处罚：（三）违反第二十八条第一款第（四）项规定，运输液体、散装货物的车辆不作密封、包扎、覆盖，造成泄漏、遗撒的，根据《城市市容和环境卫生管理条例》第三十四条规定，责令其纠正违法行为、采取补救措施，并可对单位处以500元以上5000元以下的罚款，对个人处以100元以下的罚款。”</w:t>
            </w:r>
          </w:p>
        </w:tc>
        <w:tc>
          <w:tcPr>
            <w:tcW w:w="177" w:type="pct"/>
            <w:gridSpan w:val="2"/>
            <w:shd w:val="clear" w:color="auto" w:fill="auto"/>
            <w:tcMar>
              <w:top w:w="15" w:type="dxa"/>
              <w:left w:w="15" w:type="dxa"/>
              <w:right w:w="15" w:type="dxa"/>
            </w:tcMar>
            <w:vAlign w:val="center"/>
          </w:tcPr>
          <w:p w14:paraId="5E7A42EC">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1A9C178D">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造成泄漏、遗撒</w:t>
            </w:r>
            <w:r>
              <w:rPr>
                <w:rFonts w:hint="default" w:ascii="Times New Roman" w:hAnsi="Times New Roman" w:cs="Times New Roman" w:eastAsiaTheme="minorEastAsia"/>
                <w:color w:val="auto"/>
                <w:kern w:val="0"/>
                <w:sz w:val="18"/>
                <w:szCs w:val="18"/>
                <w:highlight w:val="none"/>
                <w:lang w:eastAsia="zh-CN"/>
              </w:rPr>
              <w:t>长度5</w:t>
            </w:r>
            <w:r>
              <w:rPr>
                <w:rFonts w:hint="default" w:ascii="Times New Roman" w:hAnsi="Times New Roman" w:cs="Times New Roman" w:eastAsiaTheme="minorEastAsia"/>
                <w:color w:val="auto"/>
                <w:kern w:val="0"/>
                <w:sz w:val="18"/>
                <w:szCs w:val="18"/>
                <w:highlight w:val="none"/>
                <w:lang w:val="en-US" w:eastAsia="zh-CN"/>
              </w:rPr>
              <w:t>00</w:t>
            </w:r>
            <w:r>
              <w:rPr>
                <w:rFonts w:hint="default" w:ascii="Times New Roman" w:hAnsi="Times New Roman" w:cs="Times New Roman" w:eastAsiaTheme="minorEastAsia"/>
                <w:color w:val="auto"/>
                <w:kern w:val="0"/>
                <w:sz w:val="18"/>
                <w:szCs w:val="18"/>
                <w:highlight w:val="none"/>
              </w:rPr>
              <w:t>米</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rPr>
              <w:t>；</w:t>
            </w:r>
          </w:p>
        </w:tc>
        <w:tc>
          <w:tcPr>
            <w:tcW w:w="545" w:type="pct"/>
            <w:gridSpan w:val="2"/>
            <w:shd w:val="clear" w:color="auto" w:fill="auto"/>
            <w:tcMar>
              <w:top w:w="15" w:type="dxa"/>
              <w:left w:w="15" w:type="dxa"/>
              <w:right w:w="15" w:type="dxa"/>
            </w:tcMar>
            <w:vAlign w:val="center"/>
          </w:tcPr>
          <w:p w14:paraId="163FB46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可对单位处以500元以上</w:t>
            </w:r>
            <w:r>
              <w:rPr>
                <w:rFonts w:hint="default" w:ascii="Times New Roman" w:hAnsi="Times New Roman" w:cs="Times New Roman" w:eastAsiaTheme="minorEastAsia"/>
                <w:color w:val="auto"/>
                <w:kern w:val="0"/>
                <w:sz w:val="18"/>
                <w:szCs w:val="18"/>
                <w:highlight w:val="none"/>
                <w:lang w:val="en-US" w:eastAsia="zh-CN"/>
              </w:rPr>
              <w:t>1850</w:t>
            </w:r>
            <w:r>
              <w:rPr>
                <w:rFonts w:hint="default" w:ascii="Times New Roman" w:hAnsi="Times New Roman" w:cs="Times New Roman" w:eastAsiaTheme="minorEastAsia"/>
                <w:color w:val="auto"/>
                <w:kern w:val="0"/>
                <w:sz w:val="18"/>
                <w:szCs w:val="18"/>
                <w:highlight w:val="none"/>
              </w:rPr>
              <w:t>元以下的罚款，对个人处以30元以下的罚款</w:t>
            </w:r>
          </w:p>
        </w:tc>
        <w:tc>
          <w:tcPr>
            <w:tcW w:w="200" w:type="pct"/>
            <w:gridSpan w:val="2"/>
            <w:vMerge w:val="restart"/>
            <w:shd w:val="clear" w:color="auto" w:fill="auto"/>
            <w:tcMar>
              <w:top w:w="15" w:type="dxa"/>
              <w:left w:w="15" w:type="dxa"/>
              <w:right w:w="15" w:type="dxa"/>
            </w:tcMar>
            <w:vAlign w:val="center"/>
          </w:tcPr>
          <w:p w14:paraId="30A7F101">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责令其纠正违法行为、采取补救措施</w:t>
            </w:r>
          </w:p>
          <w:p w14:paraId="3C2977E5">
            <w:pPr>
              <w:widowControl/>
              <w:shd w:val="clear"/>
              <w:jc w:val="left"/>
              <w:textAlignment w:val="center"/>
              <w:rPr>
                <w:rFonts w:hint="default" w:ascii="Times New Roman" w:hAnsi="Times New Roman" w:cs="Times New Roman" w:eastAsiaTheme="minorEastAsia"/>
                <w:color w:val="auto"/>
                <w:sz w:val="18"/>
                <w:szCs w:val="18"/>
                <w:highlight w:val="none"/>
              </w:rPr>
            </w:pPr>
          </w:p>
          <w:p w14:paraId="2B731F44">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4F697B93">
            <w:pPr>
              <w:shd w:val="clear"/>
              <w:rPr>
                <w:rFonts w:hint="default" w:ascii="Times New Roman" w:hAnsi="Times New Roman" w:cs="Times New Roman" w:eastAsiaTheme="minorEastAsia"/>
                <w:color w:val="auto"/>
                <w:sz w:val="18"/>
                <w:szCs w:val="18"/>
                <w:highlight w:val="none"/>
                <w:lang w:eastAsia="zh-CN"/>
              </w:rPr>
            </w:pPr>
          </w:p>
        </w:tc>
      </w:tr>
      <w:tr w14:paraId="6C4E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trPr>
        <w:tc>
          <w:tcPr>
            <w:tcW w:w="117" w:type="pct"/>
            <w:gridSpan w:val="2"/>
            <w:vMerge w:val="continue"/>
            <w:shd w:val="clear" w:color="auto" w:fill="auto"/>
            <w:tcMar>
              <w:top w:w="15" w:type="dxa"/>
              <w:left w:w="15" w:type="dxa"/>
              <w:right w:w="15" w:type="dxa"/>
            </w:tcMar>
            <w:vAlign w:val="center"/>
          </w:tcPr>
          <w:p w14:paraId="3DED7076">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6538E14B">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69E12E3D">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429C29AB">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79D33C51">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51ED365F">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造成泄漏、遗撒</w:t>
            </w:r>
            <w:r>
              <w:rPr>
                <w:rFonts w:hint="default" w:ascii="Times New Roman" w:hAnsi="Times New Roman" w:cs="Times New Roman" w:eastAsiaTheme="minorEastAsia"/>
                <w:color w:val="auto"/>
                <w:kern w:val="0"/>
                <w:sz w:val="18"/>
                <w:szCs w:val="18"/>
                <w:highlight w:val="none"/>
                <w:lang w:eastAsia="zh-CN"/>
              </w:rPr>
              <w:t>长度</w:t>
            </w:r>
            <w:r>
              <w:rPr>
                <w:rFonts w:hint="default" w:ascii="Times New Roman" w:hAnsi="Times New Roman" w:cs="Times New Roman" w:eastAsiaTheme="minorEastAsia"/>
                <w:color w:val="auto"/>
                <w:kern w:val="0"/>
                <w:sz w:val="18"/>
                <w:szCs w:val="18"/>
                <w:highlight w:val="none"/>
                <w:lang w:val="en-US" w:eastAsia="zh-CN"/>
              </w:rPr>
              <w:t>500米以上1000</w:t>
            </w:r>
            <w:r>
              <w:rPr>
                <w:rFonts w:hint="default" w:ascii="Times New Roman" w:hAnsi="Times New Roman" w:cs="Times New Roman" w:eastAsiaTheme="minorEastAsia"/>
                <w:color w:val="auto"/>
                <w:kern w:val="0"/>
                <w:sz w:val="18"/>
                <w:szCs w:val="18"/>
                <w:highlight w:val="none"/>
              </w:rPr>
              <w:t>米</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rPr>
              <w:t>；</w:t>
            </w:r>
          </w:p>
        </w:tc>
        <w:tc>
          <w:tcPr>
            <w:tcW w:w="545" w:type="pct"/>
            <w:gridSpan w:val="2"/>
            <w:shd w:val="clear" w:color="auto" w:fill="auto"/>
            <w:tcMar>
              <w:top w:w="15" w:type="dxa"/>
              <w:left w:w="15" w:type="dxa"/>
              <w:right w:w="15" w:type="dxa"/>
            </w:tcMar>
            <w:vAlign w:val="center"/>
          </w:tcPr>
          <w:p w14:paraId="7B4D057F">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可对单位处以</w:t>
            </w:r>
            <w:r>
              <w:rPr>
                <w:rFonts w:hint="default" w:ascii="Times New Roman" w:hAnsi="Times New Roman" w:cs="Times New Roman" w:eastAsiaTheme="minorEastAsia"/>
                <w:color w:val="auto"/>
                <w:kern w:val="0"/>
                <w:sz w:val="18"/>
                <w:szCs w:val="18"/>
                <w:highlight w:val="none"/>
                <w:lang w:val="en-US" w:eastAsia="zh-CN"/>
              </w:rPr>
              <w:t>1850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3650</w:t>
            </w:r>
            <w:r>
              <w:rPr>
                <w:rFonts w:hint="default" w:ascii="Times New Roman" w:hAnsi="Times New Roman" w:cs="Times New Roman" w:eastAsiaTheme="minorEastAsia"/>
                <w:color w:val="auto"/>
                <w:kern w:val="0"/>
                <w:sz w:val="18"/>
                <w:szCs w:val="18"/>
                <w:highlight w:val="none"/>
              </w:rPr>
              <w:t>元以下的罚款，对个人处以30元以上70元以下的罚款</w:t>
            </w:r>
          </w:p>
        </w:tc>
        <w:tc>
          <w:tcPr>
            <w:tcW w:w="200" w:type="pct"/>
            <w:gridSpan w:val="2"/>
            <w:vMerge w:val="continue"/>
            <w:shd w:val="clear" w:color="auto" w:fill="auto"/>
            <w:tcMar>
              <w:top w:w="15" w:type="dxa"/>
              <w:left w:w="15" w:type="dxa"/>
              <w:right w:w="15" w:type="dxa"/>
            </w:tcMar>
            <w:vAlign w:val="center"/>
          </w:tcPr>
          <w:p w14:paraId="5677BF6A">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18245361">
            <w:pPr>
              <w:shd w:val="clear"/>
              <w:rPr>
                <w:rFonts w:hint="default" w:ascii="Times New Roman" w:hAnsi="Times New Roman" w:cs="Times New Roman" w:eastAsiaTheme="minorEastAsia"/>
                <w:color w:val="auto"/>
                <w:sz w:val="18"/>
                <w:szCs w:val="18"/>
                <w:highlight w:val="none"/>
              </w:rPr>
            </w:pPr>
          </w:p>
        </w:tc>
      </w:tr>
      <w:tr w14:paraId="3E05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trPr>
        <w:tc>
          <w:tcPr>
            <w:tcW w:w="117" w:type="pct"/>
            <w:gridSpan w:val="2"/>
            <w:vMerge w:val="continue"/>
            <w:shd w:val="clear" w:color="auto" w:fill="auto"/>
            <w:tcMar>
              <w:top w:w="15" w:type="dxa"/>
              <w:left w:w="15" w:type="dxa"/>
              <w:right w:w="15" w:type="dxa"/>
            </w:tcMar>
            <w:vAlign w:val="center"/>
          </w:tcPr>
          <w:p w14:paraId="51406946">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0952F64D">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6960DEA2">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57D84B8B">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25E6A9E6">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503D3422">
            <w:pPr>
              <w:widowControl/>
              <w:shd w:val="clea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造成泄漏、遗撒</w:t>
            </w:r>
            <w:r>
              <w:rPr>
                <w:rFonts w:hint="default" w:ascii="Times New Roman" w:hAnsi="Times New Roman" w:cs="Times New Roman" w:eastAsiaTheme="minorEastAsia"/>
                <w:color w:val="auto"/>
                <w:kern w:val="0"/>
                <w:sz w:val="18"/>
                <w:szCs w:val="18"/>
                <w:highlight w:val="none"/>
                <w:lang w:eastAsia="zh-CN"/>
              </w:rPr>
              <w:t>长度</w:t>
            </w:r>
            <w:r>
              <w:rPr>
                <w:rFonts w:hint="default" w:ascii="Times New Roman" w:hAnsi="Times New Roman" w:cs="Times New Roman" w:eastAsiaTheme="minorEastAsia"/>
                <w:color w:val="auto"/>
                <w:kern w:val="0"/>
                <w:sz w:val="18"/>
                <w:szCs w:val="18"/>
                <w:highlight w:val="none"/>
                <w:lang w:val="en-US" w:eastAsia="zh-CN"/>
              </w:rPr>
              <w:t>1000</w:t>
            </w:r>
            <w:r>
              <w:rPr>
                <w:rFonts w:hint="default" w:ascii="Times New Roman" w:hAnsi="Times New Roman" w:cs="Times New Roman" w:eastAsiaTheme="minorEastAsia"/>
                <w:color w:val="auto"/>
                <w:kern w:val="0"/>
                <w:sz w:val="18"/>
                <w:szCs w:val="18"/>
                <w:highlight w:val="none"/>
              </w:rPr>
              <w:t>米</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5E2FE57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可对单位处以</w:t>
            </w:r>
            <w:r>
              <w:rPr>
                <w:rFonts w:hint="default" w:ascii="Times New Roman" w:hAnsi="Times New Roman" w:cs="Times New Roman" w:eastAsiaTheme="minorEastAsia"/>
                <w:color w:val="auto"/>
                <w:kern w:val="0"/>
                <w:sz w:val="18"/>
                <w:szCs w:val="18"/>
                <w:highlight w:val="none"/>
                <w:lang w:val="en-US" w:eastAsia="zh-CN"/>
              </w:rPr>
              <w:t>3650</w:t>
            </w:r>
            <w:r>
              <w:rPr>
                <w:rFonts w:hint="default" w:ascii="Times New Roman" w:hAnsi="Times New Roman" w:cs="Times New Roman" w:eastAsiaTheme="minorEastAsia"/>
                <w:color w:val="auto"/>
                <w:kern w:val="0"/>
                <w:sz w:val="18"/>
                <w:szCs w:val="18"/>
                <w:highlight w:val="none"/>
              </w:rPr>
              <w:t>元以上5000元以下的罚款，对个人处以70元以上100元以下的罚款</w:t>
            </w:r>
          </w:p>
        </w:tc>
        <w:tc>
          <w:tcPr>
            <w:tcW w:w="200" w:type="pct"/>
            <w:gridSpan w:val="2"/>
            <w:vMerge w:val="continue"/>
            <w:shd w:val="clear" w:color="auto" w:fill="auto"/>
            <w:tcMar>
              <w:top w:w="15" w:type="dxa"/>
              <w:left w:w="15" w:type="dxa"/>
              <w:right w:w="15" w:type="dxa"/>
            </w:tcMar>
            <w:vAlign w:val="center"/>
          </w:tcPr>
          <w:p w14:paraId="64A3AF4A">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4A24DCA1">
            <w:pPr>
              <w:shd w:val="clear"/>
              <w:rPr>
                <w:rFonts w:hint="default" w:ascii="Times New Roman" w:hAnsi="Times New Roman" w:cs="Times New Roman" w:eastAsiaTheme="minorEastAsia"/>
                <w:color w:val="auto"/>
                <w:sz w:val="18"/>
                <w:szCs w:val="18"/>
                <w:highlight w:val="none"/>
              </w:rPr>
            </w:pPr>
          </w:p>
        </w:tc>
      </w:tr>
      <w:tr w14:paraId="2F9A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117" w:type="pct"/>
            <w:gridSpan w:val="2"/>
            <w:vMerge w:val="restart"/>
            <w:shd w:val="clear" w:color="auto" w:fill="auto"/>
            <w:tcMar>
              <w:top w:w="15" w:type="dxa"/>
              <w:left w:w="15" w:type="dxa"/>
              <w:right w:w="15" w:type="dxa"/>
            </w:tcMar>
            <w:vAlign w:val="center"/>
          </w:tcPr>
          <w:p w14:paraId="581922F6">
            <w:pPr>
              <w:shd w:val="clear"/>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51</w:t>
            </w:r>
          </w:p>
        </w:tc>
        <w:tc>
          <w:tcPr>
            <w:tcW w:w="411" w:type="pct"/>
            <w:gridSpan w:val="2"/>
            <w:vMerge w:val="restart"/>
            <w:shd w:val="clear" w:color="auto" w:fill="auto"/>
            <w:tcMar>
              <w:top w:w="15" w:type="dxa"/>
              <w:left w:w="15" w:type="dxa"/>
              <w:right w:w="15" w:type="dxa"/>
            </w:tcMar>
            <w:vAlign w:val="center"/>
          </w:tcPr>
          <w:p w14:paraId="51BB570F">
            <w:pPr>
              <w:shd w:val="clear"/>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eastAsia="zh-CN"/>
              </w:rPr>
              <w:t>施工单位未建立建筑垃圾管理台账，逾期不改正的</w:t>
            </w:r>
          </w:p>
        </w:tc>
        <w:tc>
          <w:tcPr>
            <w:tcW w:w="1310" w:type="pct"/>
            <w:gridSpan w:val="2"/>
            <w:vMerge w:val="restart"/>
            <w:shd w:val="clear" w:color="auto" w:fill="auto"/>
            <w:tcMar>
              <w:top w:w="15" w:type="dxa"/>
              <w:left w:w="15" w:type="dxa"/>
              <w:right w:w="15" w:type="dxa"/>
            </w:tcMar>
            <w:vAlign w:val="center"/>
          </w:tcPr>
          <w:p w14:paraId="0F65FE6B">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eastAsia="zh-CN"/>
              </w:rPr>
              <w:t>《广东省建筑垃圾管理条例》第十条第二款：“施工单位应当建立建筑垃圾管理台账，分类收集、贮存和及时清运施工过程中产生的建筑垃圾，采取有效措施防止混合已分类的建筑垃圾。”</w:t>
            </w:r>
          </w:p>
        </w:tc>
        <w:tc>
          <w:tcPr>
            <w:tcW w:w="1314" w:type="pct"/>
            <w:gridSpan w:val="2"/>
            <w:vMerge w:val="restart"/>
            <w:shd w:val="clear" w:color="auto" w:fill="auto"/>
            <w:tcMar>
              <w:top w:w="15" w:type="dxa"/>
              <w:left w:w="15" w:type="dxa"/>
              <w:right w:w="15" w:type="dxa"/>
            </w:tcMar>
            <w:vAlign w:val="center"/>
          </w:tcPr>
          <w:p w14:paraId="67D5B587">
            <w:pPr>
              <w:shd w:val="clear"/>
              <w:jc w:val="left"/>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sz w:val="18"/>
                <w:szCs w:val="18"/>
                <w:highlight w:val="none"/>
                <w:lang w:eastAsia="zh-CN"/>
              </w:rPr>
              <w:t>《广东省建筑垃圾管理条例》第二十一条：“违反本条例第十条第二款、第十一条第一款第一项、第十四条、第十七条第二款规定，相关单位未建立管理台账或者生产台账的，由县级以上人民政府建筑垃圾主管部门责令限期改正；逾期不改正的，处二万元以上二十万元以下的罚款。”</w:t>
            </w:r>
          </w:p>
        </w:tc>
        <w:tc>
          <w:tcPr>
            <w:tcW w:w="177" w:type="pct"/>
            <w:gridSpan w:val="2"/>
            <w:shd w:val="clear" w:color="auto" w:fill="auto"/>
            <w:tcMar>
              <w:top w:w="15" w:type="dxa"/>
              <w:left w:w="15" w:type="dxa"/>
              <w:right w:w="15" w:type="dxa"/>
            </w:tcMar>
            <w:vAlign w:val="center"/>
          </w:tcPr>
          <w:p w14:paraId="5EE56A30">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eastAsia" w:ascii="Times New Roman" w:hAnsi="Times New Roman" w:cs="Times New Roman"/>
                <w:color w:val="auto"/>
                <w:kern w:val="0"/>
                <w:sz w:val="18"/>
                <w:szCs w:val="18"/>
                <w:highlight w:val="none"/>
                <w:lang w:val="en-US" w:eastAsia="zh-CN"/>
              </w:rPr>
              <w:t>轻微</w:t>
            </w:r>
          </w:p>
        </w:tc>
        <w:tc>
          <w:tcPr>
            <w:tcW w:w="533" w:type="pct"/>
            <w:gridSpan w:val="3"/>
            <w:shd w:val="clear" w:color="auto" w:fill="auto"/>
            <w:tcMar>
              <w:top w:w="15" w:type="dxa"/>
              <w:left w:w="15" w:type="dxa"/>
              <w:right w:w="15" w:type="dxa"/>
            </w:tcMar>
            <w:vAlign w:val="center"/>
          </w:tcPr>
          <w:p w14:paraId="135DE3C4">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逾期</w:t>
            </w:r>
            <w:r>
              <w:rPr>
                <w:rFonts w:hint="default" w:ascii="Times New Roman" w:hAnsi="Times New Roman" w:cs="Times New Roman" w:eastAsiaTheme="minorEastAsia"/>
                <w:color w:val="auto"/>
                <w:kern w:val="0"/>
                <w:sz w:val="18"/>
                <w:szCs w:val="18"/>
                <w:highlight w:val="none"/>
                <w:lang w:val="en-US" w:eastAsia="zh-CN"/>
              </w:rPr>
              <w:t>10天以下改正；</w:t>
            </w:r>
          </w:p>
          <w:p w14:paraId="03543942">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涉及建筑垃圾50立方米以下</w:t>
            </w:r>
          </w:p>
        </w:tc>
        <w:tc>
          <w:tcPr>
            <w:tcW w:w="545" w:type="pct"/>
            <w:gridSpan w:val="2"/>
            <w:shd w:val="clear" w:color="auto" w:fill="auto"/>
            <w:tcMar>
              <w:top w:w="15" w:type="dxa"/>
              <w:left w:w="15" w:type="dxa"/>
              <w:right w:w="15" w:type="dxa"/>
            </w:tcMar>
            <w:vAlign w:val="center"/>
          </w:tcPr>
          <w:p w14:paraId="059E3E80">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eastAsia="zh-CN"/>
              </w:rPr>
              <w:t>处</w:t>
            </w:r>
            <w:r>
              <w:rPr>
                <w:rFonts w:hint="default" w:ascii="Times New Roman" w:hAnsi="Times New Roman" w:cs="Times New Roman" w:eastAsiaTheme="minorEastAsia"/>
                <w:color w:val="auto"/>
                <w:sz w:val="18"/>
                <w:szCs w:val="18"/>
                <w:highlight w:val="none"/>
                <w:lang w:val="en-US" w:eastAsia="zh-CN"/>
              </w:rPr>
              <w:t>2万元以上7.4万元以下罚款</w:t>
            </w:r>
          </w:p>
        </w:tc>
        <w:tc>
          <w:tcPr>
            <w:tcW w:w="200" w:type="pct"/>
            <w:gridSpan w:val="2"/>
            <w:vMerge w:val="restart"/>
            <w:shd w:val="clear" w:color="auto" w:fill="auto"/>
            <w:tcMar>
              <w:top w:w="15" w:type="dxa"/>
              <w:left w:w="15" w:type="dxa"/>
              <w:right w:w="15" w:type="dxa"/>
            </w:tcMar>
            <w:vAlign w:val="center"/>
          </w:tcPr>
          <w:p w14:paraId="6851DD78">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sz w:val="18"/>
                <w:szCs w:val="18"/>
                <w:highlight w:val="none"/>
                <w:lang w:eastAsia="zh-CN"/>
              </w:rPr>
              <w:t>责令限期改正</w:t>
            </w:r>
          </w:p>
        </w:tc>
        <w:tc>
          <w:tcPr>
            <w:tcW w:w="390" w:type="pct"/>
            <w:gridSpan w:val="3"/>
            <w:vMerge w:val="restart"/>
            <w:shd w:val="clear" w:color="auto" w:fill="auto"/>
            <w:tcMar>
              <w:top w:w="15" w:type="dxa"/>
              <w:left w:w="15" w:type="dxa"/>
              <w:right w:w="15" w:type="dxa"/>
            </w:tcMar>
            <w:vAlign w:val="center"/>
          </w:tcPr>
          <w:p w14:paraId="3B3A93BF">
            <w:pPr>
              <w:shd w:val="clear"/>
              <w:rPr>
                <w:rFonts w:hint="default" w:ascii="Times New Roman" w:hAnsi="Times New Roman" w:cs="Times New Roman" w:eastAsiaTheme="minorEastAsia"/>
                <w:color w:val="auto"/>
                <w:sz w:val="18"/>
                <w:szCs w:val="18"/>
                <w:highlight w:val="none"/>
                <w:lang w:eastAsia="zh-CN"/>
              </w:rPr>
            </w:pPr>
          </w:p>
        </w:tc>
      </w:tr>
      <w:tr w14:paraId="20F3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117" w:type="pct"/>
            <w:gridSpan w:val="2"/>
            <w:vMerge w:val="continue"/>
            <w:shd w:val="clear" w:color="auto" w:fill="auto"/>
            <w:tcMar>
              <w:top w:w="15" w:type="dxa"/>
              <w:left w:w="15" w:type="dxa"/>
              <w:right w:w="15" w:type="dxa"/>
            </w:tcMar>
            <w:vAlign w:val="center"/>
          </w:tcPr>
          <w:p w14:paraId="3DC1696D">
            <w:pPr>
              <w:widowControl/>
              <w:shd w:val="clear"/>
              <w:jc w:val="left"/>
              <w:textAlignment w:val="center"/>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6D451E31">
            <w:pPr>
              <w:widowControl/>
              <w:shd w:val="clear"/>
              <w:jc w:val="left"/>
              <w:textAlignment w:val="center"/>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13A286D6">
            <w:pPr>
              <w:widowControl/>
              <w:shd w:val="clear"/>
              <w:jc w:val="left"/>
              <w:textAlignment w:val="center"/>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7FC2C780">
            <w:pPr>
              <w:widowControl/>
              <w:shd w:val="clear"/>
              <w:jc w:val="left"/>
              <w:textAlignment w:val="center"/>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40B78D39">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一般</w:t>
            </w:r>
          </w:p>
        </w:tc>
        <w:tc>
          <w:tcPr>
            <w:tcW w:w="533" w:type="pct"/>
            <w:gridSpan w:val="3"/>
            <w:shd w:val="clear" w:color="auto" w:fill="auto"/>
            <w:tcMar>
              <w:top w:w="15" w:type="dxa"/>
              <w:left w:w="15" w:type="dxa"/>
              <w:right w:w="15" w:type="dxa"/>
            </w:tcMar>
            <w:vAlign w:val="center"/>
          </w:tcPr>
          <w:p w14:paraId="42A08F18">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逾期10天以上20天以下改正；</w:t>
            </w:r>
          </w:p>
          <w:p w14:paraId="241448B8">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涉及建筑垃圾50立方米以上100立方米以下</w:t>
            </w:r>
          </w:p>
        </w:tc>
        <w:tc>
          <w:tcPr>
            <w:tcW w:w="545" w:type="pct"/>
            <w:gridSpan w:val="2"/>
            <w:shd w:val="clear" w:color="auto" w:fill="auto"/>
            <w:tcMar>
              <w:top w:w="15" w:type="dxa"/>
              <w:left w:w="15" w:type="dxa"/>
              <w:right w:w="15" w:type="dxa"/>
            </w:tcMar>
            <w:vAlign w:val="center"/>
          </w:tcPr>
          <w:p w14:paraId="2B78B07B">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处7.4万元以上14.6万元以下罚款</w:t>
            </w:r>
          </w:p>
        </w:tc>
        <w:tc>
          <w:tcPr>
            <w:tcW w:w="200" w:type="pct"/>
            <w:gridSpan w:val="2"/>
            <w:vMerge w:val="continue"/>
            <w:shd w:val="clear" w:color="auto" w:fill="auto"/>
            <w:tcMar>
              <w:top w:w="15" w:type="dxa"/>
              <w:left w:w="15" w:type="dxa"/>
              <w:right w:w="15" w:type="dxa"/>
            </w:tcMar>
            <w:vAlign w:val="center"/>
          </w:tcPr>
          <w:p w14:paraId="0D4FC618">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390" w:type="pct"/>
            <w:gridSpan w:val="3"/>
            <w:vMerge w:val="continue"/>
            <w:shd w:val="clear" w:color="auto" w:fill="auto"/>
            <w:tcMar>
              <w:top w:w="15" w:type="dxa"/>
              <w:left w:w="15" w:type="dxa"/>
              <w:right w:w="15" w:type="dxa"/>
            </w:tcMar>
            <w:vAlign w:val="center"/>
          </w:tcPr>
          <w:p w14:paraId="3C7FBA90">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r>
      <w:tr w14:paraId="79EC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trPr>
        <w:tc>
          <w:tcPr>
            <w:tcW w:w="117" w:type="pct"/>
            <w:gridSpan w:val="2"/>
            <w:vMerge w:val="continue"/>
            <w:shd w:val="clear" w:color="auto" w:fill="auto"/>
            <w:tcMar>
              <w:top w:w="15" w:type="dxa"/>
              <w:left w:w="15" w:type="dxa"/>
              <w:right w:w="15" w:type="dxa"/>
            </w:tcMar>
            <w:vAlign w:val="center"/>
          </w:tcPr>
          <w:p w14:paraId="3A8F3395">
            <w:pPr>
              <w:widowControl/>
              <w:shd w:val="clear"/>
              <w:jc w:val="left"/>
              <w:textAlignment w:val="center"/>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78F76E07">
            <w:pPr>
              <w:widowControl/>
              <w:shd w:val="clear"/>
              <w:jc w:val="left"/>
              <w:textAlignment w:val="center"/>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646C26E6">
            <w:pPr>
              <w:widowControl/>
              <w:shd w:val="clear"/>
              <w:jc w:val="left"/>
              <w:textAlignment w:val="center"/>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008F355A">
            <w:pPr>
              <w:widowControl/>
              <w:shd w:val="clear"/>
              <w:jc w:val="left"/>
              <w:textAlignment w:val="center"/>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46DE4F96">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eastAsia" w:ascii="Times New Roman" w:hAnsi="Times New Roman" w:cs="Times New Roman"/>
                <w:color w:val="auto"/>
                <w:kern w:val="0"/>
                <w:sz w:val="18"/>
                <w:szCs w:val="18"/>
                <w:highlight w:val="none"/>
                <w:lang w:val="en-US" w:eastAsia="zh-CN"/>
              </w:rPr>
              <w:t>严重</w:t>
            </w:r>
          </w:p>
        </w:tc>
        <w:tc>
          <w:tcPr>
            <w:tcW w:w="533" w:type="pct"/>
            <w:gridSpan w:val="3"/>
            <w:shd w:val="clear" w:color="auto" w:fill="auto"/>
            <w:tcMar>
              <w:top w:w="15" w:type="dxa"/>
              <w:left w:w="15" w:type="dxa"/>
              <w:right w:w="15" w:type="dxa"/>
            </w:tcMar>
            <w:vAlign w:val="center"/>
          </w:tcPr>
          <w:p w14:paraId="7D2C98B8">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逾期20天以上改正；</w:t>
            </w:r>
          </w:p>
          <w:p w14:paraId="31B41CB3">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涉及建筑垃圾100立方米以上</w:t>
            </w:r>
          </w:p>
        </w:tc>
        <w:tc>
          <w:tcPr>
            <w:tcW w:w="545" w:type="pct"/>
            <w:gridSpan w:val="2"/>
            <w:shd w:val="clear" w:color="auto" w:fill="auto"/>
            <w:tcMar>
              <w:top w:w="15" w:type="dxa"/>
              <w:left w:w="15" w:type="dxa"/>
              <w:right w:w="15" w:type="dxa"/>
            </w:tcMar>
            <w:vAlign w:val="center"/>
          </w:tcPr>
          <w:p w14:paraId="3AB79CA2">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处14.6万元以上20万元以下罚款</w:t>
            </w:r>
          </w:p>
        </w:tc>
        <w:tc>
          <w:tcPr>
            <w:tcW w:w="200" w:type="pct"/>
            <w:gridSpan w:val="2"/>
            <w:vMerge w:val="continue"/>
            <w:shd w:val="clear" w:color="auto" w:fill="auto"/>
            <w:tcMar>
              <w:top w:w="15" w:type="dxa"/>
              <w:left w:w="15" w:type="dxa"/>
              <w:right w:w="15" w:type="dxa"/>
            </w:tcMar>
            <w:vAlign w:val="center"/>
          </w:tcPr>
          <w:p w14:paraId="40CFF927">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390" w:type="pct"/>
            <w:gridSpan w:val="3"/>
            <w:vMerge w:val="continue"/>
            <w:shd w:val="clear" w:color="auto" w:fill="auto"/>
            <w:tcMar>
              <w:top w:w="15" w:type="dxa"/>
              <w:left w:w="15" w:type="dxa"/>
              <w:right w:w="15" w:type="dxa"/>
            </w:tcMar>
            <w:vAlign w:val="center"/>
          </w:tcPr>
          <w:p w14:paraId="5AB640F1">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r>
      <w:tr w14:paraId="76E5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117" w:type="pct"/>
            <w:gridSpan w:val="2"/>
            <w:vMerge w:val="restart"/>
            <w:shd w:val="clear" w:color="auto" w:fill="auto"/>
            <w:tcMar>
              <w:top w:w="15" w:type="dxa"/>
              <w:left w:w="15" w:type="dxa"/>
              <w:right w:w="15" w:type="dxa"/>
            </w:tcMar>
            <w:vAlign w:val="center"/>
          </w:tcPr>
          <w:p w14:paraId="7783D7DD">
            <w:pPr>
              <w:shd w:val="clear"/>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52</w:t>
            </w:r>
          </w:p>
        </w:tc>
        <w:tc>
          <w:tcPr>
            <w:tcW w:w="411" w:type="pct"/>
            <w:gridSpan w:val="2"/>
            <w:vMerge w:val="restart"/>
            <w:shd w:val="clear" w:color="auto" w:fill="auto"/>
            <w:tcMar>
              <w:top w:w="15" w:type="dxa"/>
              <w:left w:w="15" w:type="dxa"/>
              <w:right w:w="15" w:type="dxa"/>
            </w:tcMar>
            <w:vAlign w:val="center"/>
          </w:tcPr>
          <w:p w14:paraId="7FC4FC93">
            <w:pPr>
              <w:shd w:val="clear"/>
              <w:jc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sz w:val="18"/>
                <w:szCs w:val="18"/>
                <w:highlight w:val="none"/>
              </w:rPr>
              <w:t>运输建筑垃圾</w:t>
            </w:r>
            <w:r>
              <w:rPr>
                <w:rFonts w:hint="default" w:ascii="Times New Roman" w:hAnsi="Times New Roman" w:cs="Times New Roman" w:eastAsiaTheme="minorEastAsia"/>
                <w:color w:val="auto"/>
                <w:sz w:val="18"/>
                <w:szCs w:val="18"/>
                <w:highlight w:val="none"/>
                <w:lang w:eastAsia="zh-CN"/>
              </w:rPr>
              <w:t>单位未</w:t>
            </w:r>
            <w:r>
              <w:rPr>
                <w:rFonts w:hint="default" w:ascii="Times New Roman" w:hAnsi="Times New Roman" w:cs="Times New Roman" w:eastAsiaTheme="minorEastAsia"/>
                <w:color w:val="auto"/>
                <w:sz w:val="18"/>
                <w:szCs w:val="18"/>
                <w:highlight w:val="none"/>
              </w:rPr>
              <w:t>建立建筑垃圾运输管理台账</w:t>
            </w:r>
            <w:r>
              <w:rPr>
                <w:rFonts w:hint="default" w:ascii="Times New Roman" w:hAnsi="Times New Roman" w:cs="Times New Roman" w:eastAsiaTheme="minorEastAsia"/>
                <w:color w:val="auto"/>
                <w:sz w:val="18"/>
                <w:szCs w:val="18"/>
                <w:highlight w:val="none"/>
                <w:lang w:eastAsia="zh-CN"/>
              </w:rPr>
              <w:t>，逾期不改正的</w:t>
            </w:r>
          </w:p>
        </w:tc>
        <w:tc>
          <w:tcPr>
            <w:tcW w:w="1310" w:type="pct"/>
            <w:gridSpan w:val="2"/>
            <w:vMerge w:val="restart"/>
            <w:shd w:val="clear" w:color="auto" w:fill="auto"/>
            <w:tcMar>
              <w:top w:w="15" w:type="dxa"/>
              <w:left w:w="15" w:type="dxa"/>
              <w:right w:w="15" w:type="dxa"/>
            </w:tcMar>
            <w:vAlign w:val="center"/>
          </w:tcPr>
          <w:p w14:paraId="675AEA82">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eastAsia="zh-CN"/>
              </w:rPr>
              <w:t>《广东省建筑垃圾管理条例》第十一条第一款第一项：“运输建筑垃圾应当遵守下列规定：（一）建立建筑垃圾运输管理台账；”</w:t>
            </w:r>
          </w:p>
        </w:tc>
        <w:tc>
          <w:tcPr>
            <w:tcW w:w="1314" w:type="pct"/>
            <w:gridSpan w:val="2"/>
            <w:vMerge w:val="restart"/>
            <w:shd w:val="clear" w:color="auto" w:fill="auto"/>
            <w:tcMar>
              <w:top w:w="15" w:type="dxa"/>
              <w:left w:w="15" w:type="dxa"/>
              <w:right w:w="15" w:type="dxa"/>
            </w:tcMar>
            <w:vAlign w:val="center"/>
          </w:tcPr>
          <w:p w14:paraId="4BFEB4DD">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eastAsia="zh-CN"/>
              </w:rPr>
              <w:t>《广东省建筑垃圾管理条例》第二十一条：“违反本条例第十条第二款、第十一条第一款第一项、第十四条、第十七条第二款规定，相关单位未建立管理台账或者生产台账的，由县级以上人民政府建筑垃圾主管部门责令限期改正；逾期不改正的，处二万元以上二十万元以下的罚款。”</w:t>
            </w:r>
          </w:p>
        </w:tc>
        <w:tc>
          <w:tcPr>
            <w:tcW w:w="177" w:type="pct"/>
            <w:gridSpan w:val="2"/>
            <w:shd w:val="clear" w:color="auto" w:fill="auto"/>
            <w:tcMar>
              <w:top w:w="15" w:type="dxa"/>
              <w:left w:w="15" w:type="dxa"/>
              <w:right w:w="15" w:type="dxa"/>
            </w:tcMar>
            <w:vAlign w:val="center"/>
          </w:tcPr>
          <w:p w14:paraId="59E2B313">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eastAsia" w:ascii="Times New Roman" w:hAnsi="Times New Roman" w:cs="Times New Roman"/>
                <w:color w:val="auto"/>
                <w:kern w:val="0"/>
                <w:sz w:val="18"/>
                <w:szCs w:val="18"/>
                <w:highlight w:val="none"/>
                <w:lang w:val="en-US" w:eastAsia="zh-CN"/>
              </w:rPr>
              <w:t>轻微</w:t>
            </w:r>
          </w:p>
        </w:tc>
        <w:tc>
          <w:tcPr>
            <w:tcW w:w="533" w:type="pct"/>
            <w:gridSpan w:val="3"/>
            <w:shd w:val="clear" w:color="auto" w:fill="auto"/>
            <w:tcMar>
              <w:top w:w="15" w:type="dxa"/>
              <w:left w:w="15" w:type="dxa"/>
              <w:right w:w="15" w:type="dxa"/>
            </w:tcMar>
            <w:vAlign w:val="center"/>
          </w:tcPr>
          <w:p w14:paraId="46DF0CAA">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逾期</w:t>
            </w:r>
            <w:r>
              <w:rPr>
                <w:rFonts w:hint="default" w:ascii="Times New Roman" w:hAnsi="Times New Roman" w:cs="Times New Roman" w:eastAsiaTheme="minorEastAsia"/>
                <w:color w:val="auto"/>
                <w:kern w:val="0"/>
                <w:sz w:val="18"/>
                <w:szCs w:val="18"/>
                <w:highlight w:val="none"/>
                <w:lang w:val="en-US" w:eastAsia="zh-CN"/>
              </w:rPr>
              <w:t>10天以下改正；</w:t>
            </w:r>
          </w:p>
          <w:p w14:paraId="294EA4B0">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val="en-US" w:eastAsia="zh-CN"/>
              </w:rPr>
              <w:t>涉及建筑垃圾50立方米以下</w:t>
            </w:r>
          </w:p>
        </w:tc>
        <w:tc>
          <w:tcPr>
            <w:tcW w:w="545" w:type="pct"/>
            <w:gridSpan w:val="2"/>
            <w:shd w:val="clear" w:color="auto" w:fill="auto"/>
            <w:tcMar>
              <w:top w:w="15" w:type="dxa"/>
              <w:left w:w="15" w:type="dxa"/>
              <w:right w:w="15" w:type="dxa"/>
            </w:tcMar>
            <w:vAlign w:val="center"/>
          </w:tcPr>
          <w:p w14:paraId="10DD0D27">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eastAsia="zh-CN"/>
              </w:rPr>
              <w:t>处</w:t>
            </w:r>
            <w:r>
              <w:rPr>
                <w:rFonts w:hint="default" w:ascii="Times New Roman" w:hAnsi="Times New Roman" w:cs="Times New Roman" w:eastAsiaTheme="minorEastAsia"/>
                <w:color w:val="auto"/>
                <w:sz w:val="18"/>
                <w:szCs w:val="18"/>
                <w:highlight w:val="none"/>
                <w:lang w:val="en-US" w:eastAsia="zh-CN"/>
              </w:rPr>
              <w:t>2万元以上7.4万元以下罚款</w:t>
            </w:r>
          </w:p>
        </w:tc>
        <w:tc>
          <w:tcPr>
            <w:tcW w:w="200" w:type="pct"/>
            <w:gridSpan w:val="2"/>
            <w:vMerge w:val="restart"/>
            <w:shd w:val="clear" w:color="auto" w:fill="auto"/>
            <w:tcMar>
              <w:top w:w="15" w:type="dxa"/>
              <w:left w:w="15" w:type="dxa"/>
              <w:right w:w="15" w:type="dxa"/>
            </w:tcMar>
            <w:vAlign w:val="center"/>
          </w:tcPr>
          <w:p w14:paraId="20327466">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sz w:val="18"/>
                <w:szCs w:val="18"/>
                <w:highlight w:val="none"/>
                <w:lang w:eastAsia="zh-CN"/>
              </w:rPr>
              <w:t>责令限期改正</w:t>
            </w:r>
          </w:p>
        </w:tc>
        <w:tc>
          <w:tcPr>
            <w:tcW w:w="390" w:type="pct"/>
            <w:gridSpan w:val="3"/>
            <w:vMerge w:val="restart"/>
            <w:shd w:val="clear" w:color="auto" w:fill="auto"/>
            <w:tcMar>
              <w:top w:w="15" w:type="dxa"/>
              <w:left w:w="15" w:type="dxa"/>
              <w:right w:w="15" w:type="dxa"/>
            </w:tcMar>
            <w:vAlign w:val="center"/>
          </w:tcPr>
          <w:p w14:paraId="0B80A862">
            <w:pPr>
              <w:shd w:val="clear"/>
              <w:rPr>
                <w:rFonts w:hint="default" w:ascii="Times New Roman" w:hAnsi="Times New Roman" w:cs="Times New Roman" w:eastAsiaTheme="minorEastAsia"/>
                <w:color w:val="auto"/>
                <w:sz w:val="18"/>
                <w:szCs w:val="18"/>
                <w:highlight w:val="none"/>
                <w:lang w:eastAsia="zh-CN"/>
              </w:rPr>
            </w:pPr>
          </w:p>
        </w:tc>
      </w:tr>
      <w:tr w14:paraId="7625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117" w:type="pct"/>
            <w:gridSpan w:val="2"/>
            <w:vMerge w:val="continue"/>
            <w:shd w:val="clear" w:color="auto" w:fill="auto"/>
            <w:tcMar>
              <w:top w:w="15" w:type="dxa"/>
              <w:left w:w="15" w:type="dxa"/>
              <w:right w:w="15" w:type="dxa"/>
            </w:tcMar>
            <w:vAlign w:val="center"/>
          </w:tcPr>
          <w:p w14:paraId="187B0091">
            <w:pPr>
              <w:widowControl/>
              <w:shd w:val="clear"/>
              <w:jc w:val="left"/>
              <w:textAlignment w:val="center"/>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1930E2A4">
            <w:pPr>
              <w:widowControl/>
              <w:shd w:val="clear"/>
              <w:jc w:val="left"/>
              <w:textAlignment w:val="center"/>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3D5F2AF3">
            <w:pPr>
              <w:widowControl/>
              <w:shd w:val="clear"/>
              <w:jc w:val="left"/>
              <w:textAlignment w:val="center"/>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0B89EBAE">
            <w:pPr>
              <w:widowControl/>
              <w:shd w:val="clear"/>
              <w:jc w:val="left"/>
              <w:textAlignment w:val="center"/>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05D03E2C">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一般</w:t>
            </w:r>
          </w:p>
        </w:tc>
        <w:tc>
          <w:tcPr>
            <w:tcW w:w="533" w:type="pct"/>
            <w:gridSpan w:val="3"/>
            <w:shd w:val="clear" w:color="auto" w:fill="auto"/>
            <w:tcMar>
              <w:top w:w="15" w:type="dxa"/>
              <w:left w:w="15" w:type="dxa"/>
              <w:right w:w="15" w:type="dxa"/>
            </w:tcMar>
            <w:vAlign w:val="center"/>
          </w:tcPr>
          <w:p w14:paraId="616B3294">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逾期10天以上20天以下改正；</w:t>
            </w:r>
          </w:p>
          <w:p w14:paraId="09C957F8">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涉及建筑垃圾50立方米以上100立方米以下</w:t>
            </w:r>
          </w:p>
        </w:tc>
        <w:tc>
          <w:tcPr>
            <w:tcW w:w="545" w:type="pct"/>
            <w:gridSpan w:val="2"/>
            <w:shd w:val="clear" w:color="auto" w:fill="auto"/>
            <w:tcMar>
              <w:top w:w="15" w:type="dxa"/>
              <w:left w:w="15" w:type="dxa"/>
              <w:right w:w="15" w:type="dxa"/>
            </w:tcMar>
            <w:vAlign w:val="center"/>
          </w:tcPr>
          <w:p w14:paraId="343A44AE">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处7.4万元以上14.6万元以下罚款</w:t>
            </w:r>
          </w:p>
        </w:tc>
        <w:tc>
          <w:tcPr>
            <w:tcW w:w="200" w:type="pct"/>
            <w:gridSpan w:val="2"/>
            <w:vMerge w:val="continue"/>
            <w:shd w:val="clear" w:color="auto" w:fill="auto"/>
            <w:tcMar>
              <w:top w:w="15" w:type="dxa"/>
              <w:left w:w="15" w:type="dxa"/>
              <w:right w:w="15" w:type="dxa"/>
            </w:tcMar>
            <w:vAlign w:val="center"/>
          </w:tcPr>
          <w:p w14:paraId="667531F8">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390" w:type="pct"/>
            <w:gridSpan w:val="3"/>
            <w:vMerge w:val="continue"/>
            <w:shd w:val="clear" w:color="auto" w:fill="auto"/>
            <w:tcMar>
              <w:top w:w="15" w:type="dxa"/>
              <w:left w:w="15" w:type="dxa"/>
              <w:right w:w="15" w:type="dxa"/>
            </w:tcMar>
            <w:vAlign w:val="center"/>
          </w:tcPr>
          <w:p w14:paraId="0BE935E1">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r>
      <w:tr w14:paraId="755E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117" w:type="pct"/>
            <w:gridSpan w:val="2"/>
            <w:vMerge w:val="continue"/>
            <w:shd w:val="clear" w:color="auto" w:fill="auto"/>
            <w:tcMar>
              <w:top w:w="15" w:type="dxa"/>
              <w:left w:w="15" w:type="dxa"/>
              <w:right w:w="15" w:type="dxa"/>
            </w:tcMar>
            <w:vAlign w:val="center"/>
          </w:tcPr>
          <w:p w14:paraId="61D326E2">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411" w:type="pct"/>
            <w:gridSpan w:val="2"/>
            <w:vMerge w:val="continue"/>
            <w:shd w:val="clear" w:color="auto" w:fill="auto"/>
            <w:tcMar>
              <w:top w:w="15" w:type="dxa"/>
              <w:left w:w="15" w:type="dxa"/>
              <w:right w:w="15" w:type="dxa"/>
            </w:tcMar>
            <w:vAlign w:val="center"/>
          </w:tcPr>
          <w:p w14:paraId="31D72018">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1310" w:type="pct"/>
            <w:gridSpan w:val="2"/>
            <w:vMerge w:val="continue"/>
            <w:shd w:val="clear" w:color="auto" w:fill="auto"/>
            <w:tcMar>
              <w:top w:w="15" w:type="dxa"/>
              <w:left w:w="15" w:type="dxa"/>
              <w:right w:w="15" w:type="dxa"/>
            </w:tcMar>
            <w:vAlign w:val="center"/>
          </w:tcPr>
          <w:p w14:paraId="7C4EE581">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1314" w:type="pct"/>
            <w:gridSpan w:val="2"/>
            <w:vMerge w:val="continue"/>
            <w:shd w:val="clear" w:color="auto" w:fill="auto"/>
            <w:tcMar>
              <w:top w:w="15" w:type="dxa"/>
              <w:left w:w="15" w:type="dxa"/>
              <w:right w:w="15" w:type="dxa"/>
            </w:tcMar>
            <w:vAlign w:val="center"/>
          </w:tcPr>
          <w:p w14:paraId="30EE18FD">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177" w:type="pct"/>
            <w:gridSpan w:val="2"/>
            <w:shd w:val="clear" w:color="auto" w:fill="auto"/>
            <w:tcMar>
              <w:top w:w="15" w:type="dxa"/>
              <w:left w:w="15" w:type="dxa"/>
              <w:right w:w="15" w:type="dxa"/>
            </w:tcMar>
            <w:vAlign w:val="center"/>
          </w:tcPr>
          <w:p w14:paraId="2F6AA977">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eastAsia" w:ascii="Times New Roman" w:hAnsi="Times New Roman" w:cs="Times New Roman"/>
                <w:color w:val="auto"/>
                <w:kern w:val="0"/>
                <w:sz w:val="18"/>
                <w:szCs w:val="18"/>
                <w:highlight w:val="none"/>
                <w:lang w:val="en-US" w:eastAsia="zh-CN"/>
              </w:rPr>
              <w:t>严重</w:t>
            </w:r>
          </w:p>
        </w:tc>
        <w:tc>
          <w:tcPr>
            <w:tcW w:w="533" w:type="pct"/>
            <w:gridSpan w:val="3"/>
            <w:shd w:val="clear" w:color="auto" w:fill="auto"/>
            <w:tcMar>
              <w:top w:w="15" w:type="dxa"/>
              <w:left w:w="15" w:type="dxa"/>
              <w:right w:w="15" w:type="dxa"/>
            </w:tcMar>
            <w:vAlign w:val="center"/>
          </w:tcPr>
          <w:p w14:paraId="54DAC46D">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逾期20天以上改正；</w:t>
            </w:r>
          </w:p>
          <w:p w14:paraId="4A529E1D">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涉及建筑垃圾100立方米以上</w:t>
            </w:r>
          </w:p>
        </w:tc>
        <w:tc>
          <w:tcPr>
            <w:tcW w:w="545" w:type="pct"/>
            <w:gridSpan w:val="2"/>
            <w:shd w:val="clear" w:color="auto" w:fill="auto"/>
            <w:tcMar>
              <w:top w:w="15" w:type="dxa"/>
              <w:left w:w="15" w:type="dxa"/>
              <w:right w:w="15" w:type="dxa"/>
            </w:tcMar>
            <w:vAlign w:val="center"/>
          </w:tcPr>
          <w:p w14:paraId="12A3A295">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处14.6万元以上20万元以下罚款</w:t>
            </w:r>
          </w:p>
        </w:tc>
        <w:tc>
          <w:tcPr>
            <w:tcW w:w="200" w:type="pct"/>
            <w:gridSpan w:val="2"/>
            <w:vMerge w:val="continue"/>
            <w:shd w:val="clear" w:color="auto" w:fill="auto"/>
            <w:tcMar>
              <w:top w:w="15" w:type="dxa"/>
              <w:left w:w="15" w:type="dxa"/>
              <w:right w:w="15" w:type="dxa"/>
            </w:tcMar>
            <w:vAlign w:val="center"/>
          </w:tcPr>
          <w:p w14:paraId="7CCDB0BE">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390" w:type="pct"/>
            <w:gridSpan w:val="3"/>
            <w:vMerge w:val="continue"/>
            <w:shd w:val="clear" w:color="auto" w:fill="auto"/>
            <w:tcMar>
              <w:top w:w="15" w:type="dxa"/>
              <w:left w:w="15" w:type="dxa"/>
              <w:right w:w="15" w:type="dxa"/>
            </w:tcMar>
            <w:vAlign w:val="center"/>
          </w:tcPr>
          <w:p w14:paraId="0EBCEF86">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r>
      <w:tr w14:paraId="4234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117" w:type="pct"/>
            <w:gridSpan w:val="2"/>
            <w:vMerge w:val="restart"/>
            <w:shd w:val="clear" w:color="auto" w:fill="auto"/>
            <w:tcMar>
              <w:top w:w="15" w:type="dxa"/>
              <w:left w:w="15" w:type="dxa"/>
              <w:right w:w="15" w:type="dxa"/>
            </w:tcMar>
            <w:vAlign w:val="center"/>
          </w:tcPr>
          <w:p w14:paraId="3E71CDC6">
            <w:pPr>
              <w:shd w:val="clear"/>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53</w:t>
            </w:r>
          </w:p>
        </w:tc>
        <w:tc>
          <w:tcPr>
            <w:tcW w:w="411" w:type="pct"/>
            <w:gridSpan w:val="2"/>
            <w:vMerge w:val="restart"/>
            <w:shd w:val="clear" w:color="auto" w:fill="auto"/>
            <w:tcMar>
              <w:top w:w="15" w:type="dxa"/>
              <w:left w:w="15" w:type="dxa"/>
              <w:right w:w="15" w:type="dxa"/>
            </w:tcMar>
            <w:vAlign w:val="center"/>
          </w:tcPr>
          <w:p w14:paraId="7D3AE369">
            <w:pPr>
              <w:shd w:val="clear"/>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eastAsia="zh-CN"/>
              </w:rPr>
              <w:t>建筑垃圾综合利用场所运营单位未建立规范完整的生产台账，逾期不改正的</w:t>
            </w:r>
          </w:p>
        </w:tc>
        <w:tc>
          <w:tcPr>
            <w:tcW w:w="1310" w:type="pct"/>
            <w:gridSpan w:val="2"/>
            <w:vMerge w:val="restart"/>
            <w:shd w:val="clear" w:color="auto" w:fill="auto"/>
            <w:tcMar>
              <w:top w:w="15" w:type="dxa"/>
              <w:left w:w="15" w:type="dxa"/>
              <w:right w:w="15" w:type="dxa"/>
            </w:tcMar>
            <w:vAlign w:val="center"/>
          </w:tcPr>
          <w:p w14:paraId="667D5441">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eastAsia="zh-CN"/>
              </w:rPr>
              <w:t>《广东省建筑垃圾管理条例》第十四条：“建筑垃圾综合利用场所运营单位应当建立规范完整的生产台账，按照国家和省的产业政策、建材革新的有关规定以及产品质量标准生产综合利用产品，不得以其他原料代替建筑垃圾作为生产综合利用产品的主要原料。”</w:t>
            </w:r>
          </w:p>
        </w:tc>
        <w:tc>
          <w:tcPr>
            <w:tcW w:w="1314" w:type="pct"/>
            <w:gridSpan w:val="2"/>
            <w:vMerge w:val="restart"/>
            <w:shd w:val="clear" w:color="auto" w:fill="auto"/>
            <w:tcMar>
              <w:top w:w="15" w:type="dxa"/>
              <w:left w:w="15" w:type="dxa"/>
              <w:right w:w="15" w:type="dxa"/>
            </w:tcMar>
            <w:vAlign w:val="center"/>
          </w:tcPr>
          <w:p w14:paraId="4C8AE7ED">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eastAsia="zh-CN"/>
              </w:rPr>
              <w:t>《广东省建筑垃圾管理条例》第二十一条：“违反本条例第十条第二款、第十一条第一款第一项、第十四条、第十七条第二款规定，相关单位未建立管理台账或者生产台账的，由县级以上人民政府建筑垃圾主管部门责令限期改正；逾期不改正的，处二万元以上二十万元以下的罚款。”</w:t>
            </w:r>
          </w:p>
        </w:tc>
        <w:tc>
          <w:tcPr>
            <w:tcW w:w="177" w:type="pct"/>
            <w:gridSpan w:val="2"/>
            <w:shd w:val="clear" w:color="auto" w:fill="auto"/>
            <w:tcMar>
              <w:top w:w="15" w:type="dxa"/>
              <w:left w:w="15" w:type="dxa"/>
              <w:right w:w="15" w:type="dxa"/>
            </w:tcMar>
            <w:vAlign w:val="center"/>
          </w:tcPr>
          <w:p w14:paraId="1DA93F0E">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eastAsia" w:ascii="Times New Roman" w:hAnsi="Times New Roman" w:cs="Times New Roman"/>
                <w:color w:val="auto"/>
                <w:kern w:val="0"/>
                <w:sz w:val="18"/>
                <w:szCs w:val="18"/>
                <w:highlight w:val="none"/>
                <w:lang w:val="en-US" w:eastAsia="zh-CN"/>
              </w:rPr>
              <w:t>轻微</w:t>
            </w:r>
          </w:p>
        </w:tc>
        <w:tc>
          <w:tcPr>
            <w:tcW w:w="533" w:type="pct"/>
            <w:gridSpan w:val="3"/>
            <w:shd w:val="clear" w:color="auto" w:fill="auto"/>
            <w:tcMar>
              <w:top w:w="15" w:type="dxa"/>
              <w:left w:w="15" w:type="dxa"/>
              <w:right w:w="15" w:type="dxa"/>
            </w:tcMar>
            <w:vAlign w:val="center"/>
          </w:tcPr>
          <w:p w14:paraId="792F895E">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逾期</w:t>
            </w:r>
            <w:r>
              <w:rPr>
                <w:rFonts w:hint="default" w:ascii="Times New Roman" w:hAnsi="Times New Roman" w:cs="Times New Roman" w:eastAsiaTheme="minorEastAsia"/>
                <w:color w:val="auto"/>
                <w:kern w:val="0"/>
                <w:sz w:val="18"/>
                <w:szCs w:val="18"/>
                <w:highlight w:val="none"/>
                <w:lang w:val="en-US" w:eastAsia="zh-CN"/>
              </w:rPr>
              <w:t>10天以下改正；</w:t>
            </w:r>
          </w:p>
          <w:p w14:paraId="2A79C047">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val="en-US" w:eastAsia="zh-CN"/>
              </w:rPr>
              <w:t>涉及建筑垃圾50立方米以下</w:t>
            </w:r>
          </w:p>
        </w:tc>
        <w:tc>
          <w:tcPr>
            <w:tcW w:w="545" w:type="pct"/>
            <w:gridSpan w:val="2"/>
            <w:shd w:val="clear" w:color="auto" w:fill="auto"/>
            <w:tcMar>
              <w:top w:w="15" w:type="dxa"/>
              <w:left w:w="15" w:type="dxa"/>
              <w:right w:w="15" w:type="dxa"/>
            </w:tcMar>
            <w:vAlign w:val="center"/>
          </w:tcPr>
          <w:p w14:paraId="1008826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eastAsia="zh-CN"/>
              </w:rPr>
              <w:t>处</w:t>
            </w:r>
            <w:r>
              <w:rPr>
                <w:rFonts w:hint="default" w:ascii="Times New Roman" w:hAnsi="Times New Roman" w:cs="Times New Roman" w:eastAsiaTheme="minorEastAsia"/>
                <w:color w:val="auto"/>
                <w:sz w:val="18"/>
                <w:szCs w:val="18"/>
                <w:highlight w:val="none"/>
                <w:lang w:val="en-US" w:eastAsia="zh-CN"/>
              </w:rPr>
              <w:t>2万元以上7.4万元以下罚款</w:t>
            </w:r>
          </w:p>
        </w:tc>
        <w:tc>
          <w:tcPr>
            <w:tcW w:w="200" w:type="pct"/>
            <w:gridSpan w:val="2"/>
            <w:vMerge w:val="restart"/>
            <w:shd w:val="clear" w:color="auto" w:fill="auto"/>
            <w:tcMar>
              <w:top w:w="15" w:type="dxa"/>
              <w:left w:w="15" w:type="dxa"/>
              <w:right w:w="15" w:type="dxa"/>
            </w:tcMar>
            <w:vAlign w:val="center"/>
          </w:tcPr>
          <w:p w14:paraId="40858E2B">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sz w:val="18"/>
                <w:szCs w:val="18"/>
                <w:highlight w:val="none"/>
                <w:lang w:eastAsia="zh-CN"/>
              </w:rPr>
              <w:t>责令限期改正</w:t>
            </w:r>
          </w:p>
        </w:tc>
        <w:tc>
          <w:tcPr>
            <w:tcW w:w="390" w:type="pct"/>
            <w:gridSpan w:val="3"/>
            <w:vMerge w:val="restart"/>
            <w:shd w:val="clear" w:color="auto" w:fill="auto"/>
            <w:tcMar>
              <w:top w:w="15" w:type="dxa"/>
              <w:left w:w="15" w:type="dxa"/>
              <w:right w:w="15" w:type="dxa"/>
            </w:tcMar>
            <w:vAlign w:val="center"/>
          </w:tcPr>
          <w:p w14:paraId="68194314">
            <w:pPr>
              <w:shd w:val="clear"/>
              <w:rPr>
                <w:rFonts w:hint="default" w:ascii="Times New Roman" w:hAnsi="Times New Roman" w:cs="Times New Roman" w:eastAsiaTheme="minorEastAsia"/>
                <w:color w:val="auto"/>
                <w:sz w:val="18"/>
                <w:szCs w:val="18"/>
                <w:highlight w:val="none"/>
                <w:lang w:eastAsia="zh-CN"/>
              </w:rPr>
            </w:pPr>
          </w:p>
        </w:tc>
      </w:tr>
      <w:tr w14:paraId="7758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117" w:type="pct"/>
            <w:gridSpan w:val="2"/>
            <w:vMerge w:val="continue"/>
            <w:shd w:val="clear" w:color="auto" w:fill="auto"/>
            <w:tcMar>
              <w:top w:w="15" w:type="dxa"/>
              <w:left w:w="15" w:type="dxa"/>
              <w:right w:w="15" w:type="dxa"/>
            </w:tcMar>
            <w:vAlign w:val="center"/>
          </w:tcPr>
          <w:p w14:paraId="618AABCA">
            <w:pPr>
              <w:widowControl/>
              <w:shd w:val="clear"/>
              <w:jc w:val="left"/>
              <w:textAlignment w:val="center"/>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6860DE73">
            <w:pPr>
              <w:widowControl/>
              <w:shd w:val="clear"/>
              <w:jc w:val="left"/>
              <w:textAlignment w:val="center"/>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5AA4C9A8">
            <w:pPr>
              <w:widowControl/>
              <w:shd w:val="clear"/>
              <w:jc w:val="left"/>
              <w:textAlignment w:val="center"/>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4B934EA5">
            <w:pPr>
              <w:widowControl/>
              <w:shd w:val="clear"/>
              <w:jc w:val="left"/>
              <w:textAlignment w:val="center"/>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5A6249C8">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一般</w:t>
            </w:r>
          </w:p>
        </w:tc>
        <w:tc>
          <w:tcPr>
            <w:tcW w:w="533" w:type="pct"/>
            <w:gridSpan w:val="3"/>
            <w:shd w:val="clear" w:color="auto" w:fill="auto"/>
            <w:tcMar>
              <w:top w:w="15" w:type="dxa"/>
              <w:left w:w="15" w:type="dxa"/>
              <w:right w:w="15" w:type="dxa"/>
            </w:tcMar>
            <w:vAlign w:val="center"/>
          </w:tcPr>
          <w:p w14:paraId="3CACF713">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逾期10天以上20天以下改正；</w:t>
            </w:r>
          </w:p>
          <w:p w14:paraId="0BB28C6B">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涉及建筑垃圾50立方米以上100立方米以下</w:t>
            </w:r>
          </w:p>
        </w:tc>
        <w:tc>
          <w:tcPr>
            <w:tcW w:w="545" w:type="pct"/>
            <w:gridSpan w:val="2"/>
            <w:shd w:val="clear" w:color="auto" w:fill="auto"/>
            <w:tcMar>
              <w:top w:w="15" w:type="dxa"/>
              <w:left w:w="15" w:type="dxa"/>
              <w:right w:w="15" w:type="dxa"/>
            </w:tcMar>
            <w:vAlign w:val="center"/>
          </w:tcPr>
          <w:p w14:paraId="726A6463">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处7.4万元以上14.6万元以下罚款</w:t>
            </w:r>
          </w:p>
        </w:tc>
        <w:tc>
          <w:tcPr>
            <w:tcW w:w="200" w:type="pct"/>
            <w:gridSpan w:val="2"/>
            <w:vMerge w:val="continue"/>
            <w:shd w:val="clear" w:color="auto" w:fill="auto"/>
            <w:tcMar>
              <w:top w:w="15" w:type="dxa"/>
              <w:left w:w="15" w:type="dxa"/>
              <w:right w:w="15" w:type="dxa"/>
            </w:tcMar>
            <w:vAlign w:val="center"/>
          </w:tcPr>
          <w:p w14:paraId="0F637303">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390" w:type="pct"/>
            <w:gridSpan w:val="3"/>
            <w:vMerge w:val="continue"/>
            <w:shd w:val="clear" w:color="auto" w:fill="auto"/>
            <w:tcMar>
              <w:top w:w="15" w:type="dxa"/>
              <w:left w:w="15" w:type="dxa"/>
              <w:right w:w="15" w:type="dxa"/>
            </w:tcMar>
            <w:vAlign w:val="center"/>
          </w:tcPr>
          <w:p w14:paraId="3F0B908E">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r>
      <w:tr w14:paraId="6C60B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117" w:type="pct"/>
            <w:gridSpan w:val="2"/>
            <w:vMerge w:val="continue"/>
            <w:shd w:val="clear" w:color="auto" w:fill="auto"/>
            <w:tcMar>
              <w:top w:w="15" w:type="dxa"/>
              <w:left w:w="15" w:type="dxa"/>
              <w:right w:w="15" w:type="dxa"/>
            </w:tcMar>
            <w:vAlign w:val="center"/>
          </w:tcPr>
          <w:p w14:paraId="39517A12">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411" w:type="pct"/>
            <w:gridSpan w:val="2"/>
            <w:vMerge w:val="continue"/>
            <w:shd w:val="clear" w:color="auto" w:fill="auto"/>
            <w:tcMar>
              <w:top w:w="15" w:type="dxa"/>
              <w:left w:w="15" w:type="dxa"/>
              <w:right w:w="15" w:type="dxa"/>
            </w:tcMar>
            <w:vAlign w:val="center"/>
          </w:tcPr>
          <w:p w14:paraId="059AEC97">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1310" w:type="pct"/>
            <w:gridSpan w:val="2"/>
            <w:vMerge w:val="continue"/>
            <w:shd w:val="clear" w:color="auto" w:fill="auto"/>
            <w:tcMar>
              <w:top w:w="15" w:type="dxa"/>
              <w:left w:w="15" w:type="dxa"/>
              <w:right w:w="15" w:type="dxa"/>
            </w:tcMar>
            <w:vAlign w:val="center"/>
          </w:tcPr>
          <w:p w14:paraId="3859C736">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1314" w:type="pct"/>
            <w:gridSpan w:val="2"/>
            <w:vMerge w:val="continue"/>
            <w:shd w:val="clear" w:color="auto" w:fill="auto"/>
            <w:tcMar>
              <w:top w:w="15" w:type="dxa"/>
              <w:left w:w="15" w:type="dxa"/>
              <w:right w:w="15" w:type="dxa"/>
            </w:tcMar>
            <w:vAlign w:val="center"/>
          </w:tcPr>
          <w:p w14:paraId="7D400240">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177" w:type="pct"/>
            <w:gridSpan w:val="2"/>
            <w:shd w:val="clear" w:color="auto" w:fill="auto"/>
            <w:tcMar>
              <w:top w:w="15" w:type="dxa"/>
              <w:left w:w="15" w:type="dxa"/>
              <w:right w:w="15" w:type="dxa"/>
            </w:tcMar>
            <w:vAlign w:val="center"/>
          </w:tcPr>
          <w:p w14:paraId="5D7686D4">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eastAsia" w:ascii="Times New Roman" w:hAnsi="Times New Roman" w:cs="Times New Roman"/>
                <w:color w:val="auto"/>
                <w:kern w:val="0"/>
                <w:sz w:val="18"/>
                <w:szCs w:val="18"/>
                <w:highlight w:val="none"/>
                <w:lang w:val="en-US" w:eastAsia="zh-CN"/>
              </w:rPr>
              <w:t>严重</w:t>
            </w:r>
          </w:p>
        </w:tc>
        <w:tc>
          <w:tcPr>
            <w:tcW w:w="533" w:type="pct"/>
            <w:gridSpan w:val="3"/>
            <w:shd w:val="clear" w:color="auto" w:fill="auto"/>
            <w:tcMar>
              <w:top w:w="15" w:type="dxa"/>
              <w:left w:w="15" w:type="dxa"/>
              <w:right w:w="15" w:type="dxa"/>
            </w:tcMar>
            <w:vAlign w:val="center"/>
          </w:tcPr>
          <w:p w14:paraId="7960E108">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逾期20天以上改正；</w:t>
            </w:r>
          </w:p>
          <w:p w14:paraId="57D987DB">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涉及建筑垃圾100立方米以上</w:t>
            </w:r>
          </w:p>
        </w:tc>
        <w:tc>
          <w:tcPr>
            <w:tcW w:w="545" w:type="pct"/>
            <w:gridSpan w:val="2"/>
            <w:shd w:val="clear" w:color="auto" w:fill="auto"/>
            <w:tcMar>
              <w:top w:w="15" w:type="dxa"/>
              <w:left w:w="15" w:type="dxa"/>
              <w:right w:w="15" w:type="dxa"/>
            </w:tcMar>
            <w:vAlign w:val="center"/>
          </w:tcPr>
          <w:p w14:paraId="4890B6A1">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处14.6万元以上20万元以下罚款</w:t>
            </w:r>
          </w:p>
        </w:tc>
        <w:tc>
          <w:tcPr>
            <w:tcW w:w="200" w:type="pct"/>
            <w:gridSpan w:val="2"/>
            <w:vMerge w:val="continue"/>
            <w:shd w:val="clear" w:color="auto" w:fill="auto"/>
            <w:tcMar>
              <w:top w:w="15" w:type="dxa"/>
              <w:left w:w="15" w:type="dxa"/>
              <w:right w:w="15" w:type="dxa"/>
            </w:tcMar>
            <w:vAlign w:val="center"/>
          </w:tcPr>
          <w:p w14:paraId="61F91E09">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390" w:type="pct"/>
            <w:gridSpan w:val="3"/>
            <w:vMerge w:val="continue"/>
            <w:shd w:val="clear" w:color="auto" w:fill="auto"/>
            <w:tcMar>
              <w:top w:w="15" w:type="dxa"/>
              <w:left w:w="15" w:type="dxa"/>
              <w:right w:w="15" w:type="dxa"/>
            </w:tcMar>
            <w:vAlign w:val="center"/>
          </w:tcPr>
          <w:p w14:paraId="439F1ECC">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r>
      <w:tr w14:paraId="1061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117" w:type="pct"/>
            <w:gridSpan w:val="2"/>
            <w:vMerge w:val="restart"/>
            <w:shd w:val="clear" w:color="auto" w:fill="auto"/>
            <w:tcMar>
              <w:top w:w="15" w:type="dxa"/>
              <w:left w:w="15" w:type="dxa"/>
              <w:right w:w="15" w:type="dxa"/>
            </w:tcMar>
            <w:vAlign w:val="center"/>
          </w:tcPr>
          <w:p w14:paraId="013BC7C7">
            <w:pPr>
              <w:shd w:val="clear"/>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54</w:t>
            </w:r>
          </w:p>
        </w:tc>
        <w:tc>
          <w:tcPr>
            <w:tcW w:w="411" w:type="pct"/>
            <w:gridSpan w:val="2"/>
            <w:vMerge w:val="restart"/>
            <w:shd w:val="clear" w:color="auto" w:fill="auto"/>
            <w:tcMar>
              <w:top w:w="15" w:type="dxa"/>
              <w:left w:w="15" w:type="dxa"/>
              <w:right w:w="15" w:type="dxa"/>
            </w:tcMar>
            <w:vAlign w:val="center"/>
          </w:tcPr>
          <w:p w14:paraId="4A40820F">
            <w:pPr>
              <w:shd w:val="clear"/>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eastAsia="zh-CN"/>
              </w:rPr>
              <w:t>建筑垃圾消纳场运营单位未建立生产台账，逾期不改正的</w:t>
            </w:r>
          </w:p>
        </w:tc>
        <w:tc>
          <w:tcPr>
            <w:tcW w:w="1310" w:type="pct"/>
            <w:gridSpan w:val="2"/>
            <w:vMerge w:val="restart"/>
            <w:shd w:val="clear" w:color="auto" w:fill="auto"/>
            <w:tcMar>
              <w:top w:w="15" w:type="dxa"/>
              <w:left w:w="15" w:type="dxa"/>
              <w:right w:w="15" w:type="dxa"/>
            </w:tcMar>
            <w:vAlign w:val="center"/>
          </w:tcPr>
          <w:p w14:paraId="511DCF41">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eastAsia="zh-CN"/>
              </w:rPr>
              <w:t>《广东省建筑垃圾管理条例》第十七条第二款：“建筑垃圾消纳场运营单位应当建立规范完整的生产台账，按照有关技术规范进行作业，按照设计容量分区、分类堆填、堆放建筑垃圾。”</w:t>
            </w:r>
          </w:p>
        </w:tc>
        <w:tc>
          <w:tcPr>
            <w:tcW w:w="1314" w:type="pct"/>
            <w:gridSpan w:val="2"/>
            <w:vMerge w:val="restart"/>
            <w:shd w:val="clear" w:color="auto" w:fill="auto"/>
            <w:tcMar>
              <w:top w:w="15" w:type="dxa"/>
              <w:left w:w="15" w:type="dxa"/>
              <w:right w:w="15" w:type="dxa"/>
            </w:tcMar>
            <w:vAlign w:val="center"/>
          </w:tcPr>
          <w:p w14:paraId="32BD66AD">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eastAsia="zh-CN"/>
              </w:rPr>
              <w:t>《广东省建筑垃圾管理条例》第二十一条：“违反本条例第十条第二款、第十一条第一款第一项、第十四条、第十七条第二款规定，相关单位未建立管理台账或者生产台账的，由县级以上人民政府建筑垃圾主管部门责令限期改正；逾期不改正的，处二万元以上二十万元以下的罚款。”</w:t>
            </w:r>
          </w:p>
        </w:tc>
        <w:tc>
          <w:tcPr>
            <w:tcW w:w="177" w:type="pct"/>
            <w:gridSpan w:val="2"/>
            <w:shd w:val="clear" w:color="auto" w:fill="auto"/>
            <w:tcMar>
              <w:top w:w="15" w:type="dxa"/>
              <w:left w:w="15" w:type="dxa"/>
              <w:right w:w="15" w:type="dxa"/>
            </w:tcMar>
            <w:vAlign w:val="center"/>
          </w:tcPr>
          <w:p w14:paraId="3B29C622">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eastAsia" w:ascii="Times New Roman" w:hAnsi="Times New Roman" w:cs="Times New Roman"/>
                <w:color w:val="auto"/>
                <w:kern w:val="0"/>
                <w:sz w:val="18"/>
                <w:szCs w:val="18"/>
                <w:highlight w:val="none"/>
                <w:lang w:val="en-US" w:eastAsia="zh-CN"/>
              </w:rPr>
              <w:t>轻微</w:t>
            </w:r>
          </w:p>
        </w:tc>
        <w:tc>
          <w:tcPr>
            <w:tcW w:w="533" w:type="pct"/>
            <w:gridSpan w:val="3"/>
            <w:shd w:val="clear" w:color="auto" w:fill="auto"/>
            <w:tcMar>
              <w:top w:w="15" w:type="dxa"/>
              <w:left w:w="15" w:type="dxa"/>
              <w:right w:w="15" w:type="dxa"/>
            </w:tcMar>
            <w:vAlign w:val="center"/>
          </w:tcPr>
          <w:p w14:paraId="3816A52C">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逾期</w:t>
            </w:r>
            <w:r>
              <w:rPr>
                <w:rFonts w:hint="default" w:ascii="Times New Roman" w:hAnsi="Times New Roman" w:cs="Times New Roman" w:eastAsiaTheme="minorEastAsia"/>
                <w:color w:val="auto"/>
                <w:kern w:val="0"/>
                <w:sz w:val="18"/>
                <w:szCs w:val="18"/>
                <w:highlight w:val="none"/>
                <w:lang w:val="en-US" w:eastAsia="zh-CN"/>
              </w:rPr>
              <w:t>10天以下改正；</w:t>
            </w:r>
          </w:p>
          <w:p w14:paraId="0684B2C2">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val="en-US" w:eastAsia="zh-CN"/>
              </w:rPr>
              <w:t>涉及建筑垃圾50立方米以下</w:t>
            </w:r>
          </w:p>
        </w:tc>
        <w:tc>
          <w:tcPr>
            <w:tcW w:w="545" w:type="pct"/>
            <w:gridSpan w:val="2"/>
            <w:shd w:val="clear" w:color="auto" w:fill="auto"/>
            <w:tcMar>
              <w:top w:w="15" w:type="dxa"/>
              <w:left w:w="15" w:type="dxa"/>
              <w:right w:w="15" w:type="dxa"/>
            </w:tcMar>
            <w:vAlign w:val="center"/>
          </w:tcPr>
          <w:p w14:paraId="5AF22D5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eastAsia="zh-CN"/>
              </w:rPr>
              <w:t>处</w:t>
            </w:r>
            <w:r>
              <w:rPr>
                <w:rFonts w:hint="default" w:ascii="Times New Roman" w:hAnsi="Times New Roman" w:cs="Times New Roman" w:eastAsiaTheme="minorEastAsia"/>
                <w:color w:val="auto"/>
                <w:sz w:val="18"/>
                <w:szCs w:val="18"/>
                <w:highlight w:val="none"/>
                <w:lang w:val="en-US" w:eastAsia="zh-CN"/>
              </w:rPr>
              <w:t>2万元以上7.4万元以下罚款</w:t>
            </w:r>
          </w:p>
        </w:tc>
        <w:tc>
          <w:tcPr>
            <w:tcW w:w="200" w:type="pct"/>
            <w:gridSpan w:val="2"/>
            <w:vMerge w:val="restart"/>
            <w:shd w:val="clear" w:color="auto" w:fill="auto"/>
            <w:tcMar>
              <w:top w:w="15" w:type="dxa"/>
              <w:left w:w="15" w:type="dxa"/>
              <w:right w:w="15" w:type="dxa"/>
            </w:tcMar>
            <w:vAlign w:val="center"/>
          </w:tcPr>
          <w:p w14:paraId="0B109746">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sz w:val="18"/>
                <w:szCs w:val="18"/>
                <w:highlight w:val="none"/>
                <w:lang w:eastAsia="zh-CN"/>
              </w:rPr>
              <w:t>责令限期改正</w:t>
            </w:r>
          </w:p>
        </w:tc>
        <w:tc>
          <w:tcPr>
            <w:tcW w:w="390" w:type="pct"/>
            <w:gridSpan w:val="3"/>
            <w:vMerge w:val="restart"/>
            <w:shd w:val="clear" w:color="auto" w:fill="auto"/>
            <w:tcMar>
              <w:top w:w="15" w:type="dxa"/>
              <w:left w:w="15" w:type="dxa"/>
              <w:right w:w="15" w:type="dxa"/>
            </w:tcMar>
            <w:vAlign w:val="center"/>
          </w:tcPr>
          <w:p w14:paraId="46DA18C7">
            <w:pPr>
              <w:shd w:val="clear"/>
              <w:rPr>
                <w:rFonts w:hint="default" w:ascii="Times New Roman" w:hAnsi="Times New Roman" w:cs="Times New Roman" w:eastAsiaTheme="minorEastAsia"/>
                <w:color w:val="auto"/>
                <w:sz w:val="18"/>
                <w:szCs w:val="18"/>
                <w:highlight w:val="none"/>
                <w:lang w:eastAsia="zh-CN"/>
              </w:rPr>
            </w:pPr>
          </w:p>
        </w:tc>
      </w:tr>
      <w:tr w14:paraId="17CB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117" w:type="pct"/>
            <w:gridSpan w:val="2"/>
            <w:vMerge w:val="continue"/>
            <w:shd w:val="clear" w:color="auto" w:fill="auto"/>
            <w:tcMar>
              <w:top w:w="15" w:type="dxa"/>
              <w:left w:w="15" w:type="dxa"/>
              <w:right w:w="15" w:type="dxa"/>
            </w:tcMar>
            <w:vAlign w:val="center"/>
          </w:tcPr>
          <w:p w14:paraId="66974A89">
            <w:pPr>
              <w:widowControl/>
              <w:shd w:val="clear"/>
              <w:jc w:val="left"/>
              <w:textAlignment w:val="center"/>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16475C3C">
            <w:pPr>
              <w:widowControl/>
              <w:shd w:val="clear"/>
              <w:jc w:val="left"/>
              <w:textAlignment w:val="center"/>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6C3C1EBA">
            <w:pPr>
              <w:widowControl/>
              <w:shd w:val="clear"/>
              <w:jc w:val="left"/>
              <w:textAlignment w:val="center"/>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6AD4BA1F">
            <w:pPr>
              <w:widowControl/>
              <w:shd w:val="clear"/>
              <w:jc w:val="left"/>
              <w:textAlignment w:val="center"/>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5CD92BF1">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一般</w:t>
            </w:r>
          </w:p>
        </w:tc>
        <w:tc>
          <w:tcPr>
            <w:tcW w:w="533" w:type="pct"/>
            <w:gridSpan w:val="3"/>
            <w:shd w:val="clear" w:color="auto" w:fill="auto"/>
            <w:tcMar>
              <w:top w:w="15" w:type="dxa"/>
              <w:left w:w="15" w:type="dxa"/>
              <w:right w:w="15" w:type="dxa"/>
            </w:tcMar>
            <w:vAlign w:val="center"/>
          </w:tcPr>
          <w:p w14:paraId="454577BF">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逾期10天以上20天以下改正；</w:t>
            </w:r>
          </w:p>
          <w:p w14:paraId="11724361">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涉及建筑垃圾50立方米以上100立方米以下</w:t>
            </w:r>
          </w:p>
        </w:tc>
        <w:tc>
          <w:tcPr>
            <w:tcW w:w="545" w:type="pct"/>
            <w:gridSpan w:val="2"/>
            <w:shd w:val="clear" w:color="auto" w:fill="auto"/>
            <w:tcMar>
              <w:top w:w="15" w:type="dxa"/>
              <w:left w:w="15" w:type="dxa"/>
              <w:right w:w="15" w:type="dxa"/>
            </w:tcMar>
            <w:vAlign w:val="center"/>
          </w:tcPr>
          <w:p w14:paraId="52A18B99">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处7.4万元以上14.6万元以下罚款</w:t>
            </w:r>
          </w:p>
        </w:tc>
        <w:tc>
          <w:tcPr>
            <w:tcW w:w="200" w:type="pct"/>
            <w:gridSpan w:val="2"/>
            <w:vMerge w:val="continue"/>
            <w:shd w:val="clear" w:color="auto" w:fill="auto"/>
            <w:tcMar>
              <w:top w:w="15" w:type="dxa"/>
              <w:left w:w="15" w:type="dxa"/>
              <w:right w:w="15" w:type="dxa"/>
            </w:tcMar>
            <w:vAlign w:val="center"/>
          </w:tcPr>
          <w:p w14:paraId="1AF5420A">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390" w:type="pct"/>
            <w:gridSpan w:val="3"/>
            <w:vMerge w:val="continue"/>
            <w:shd w:val="clear" w:color="auto" w:fill="auto"/>
            <w:tcMar>
              <w:top w:w="15" w:type="dxa"/>
              <w:left w:w="15" w:type="dxa"/>
              <w:right w:w="15" w:type="dxa"/>
            </w:tcMar>
            <w:vAlign w:val="center"/>
          </w:tcPr>
          <w:p w14:paraId="775217AA">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r>
      <w:tr w14:paraId="2A92E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117" w:type="pct"/>
            <w:gridSpan w:val="2"/>
            <w:vMerge w:val="continue"/>
            <w:shd w:val="clear" w:color="auto" w:fill="auto"/>
            <w:tcMar>
              <w:top w:w="15" w:type="dxa"/>
              <w:left w:w="15" w:type="dxa"/>
              <w:right w:w="15" w:type="dxa"/>
            </w:tcMar>
            <w:vAlign w:val="center"/>
          </w:tcPr>
          <w:p w14:paraId="1D309D04">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411" w:type="pct"/>
            <w:gridSpan w:val="2"/>
            <w:vMerge w:val="continue"/>
            <w:shd w:val="clear" w:color="auto" w:fill="auto"/>
            <w:tcMar>
              <w:top w:w="15" w:type="dxa"/>
              <w:left w:w="15" w:type="dxa"/>
              <w:right w:w="15" w:type="dxa"/>
            </w:tcMar>
            <w:vAlign w:val="center"/>
          </w:tcPr>
          <w:p w14:paraId="15AAF5FF">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1310" w:type="pct"/>
            <w:gridSpan w:val="2"/>
            <w:vMerge w:val="continue"/>
            <w:shd w:val="clear" w:color="auto" w:fill="auto"/>
            <w:tcMar>
              <w:top w:w="15" w:type="dxa"/>
              <w:left w:w="15" w:type="dxa"/>
              <w:right w:w="15" w:type="dxa"/>
            </w:tcMar>
            <w:vAlign w:val="center"/>
          </w:tcPr>
          <w:p w14:paraId="0D818823">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1314" w:type="pct"/>
            <w:gridSpan w:val="2"/>
            <w:vMerge w:val="continue"/>
            <w:shd w:val="clear" w:color="auto" w:fill="auto"/>
            <w:tcMar>
              <w:top w:w="15" w:type="dxa"/>
              <w:left w:w="15" w:type="dxa"/>
              <w:right w:w="15" w:type="dxa"/>
            </w:tcMar>
            <w:vAlign w:val="center"/>
          </w:tcPr>
          <w:p w14:paraId="3ABD5251">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177" w:type="pct"/>
            <w:gridSpan w:val="2"/>
            <w:shd w:val="clear" w:color="auto" w:fill="auto"/>
            <w:tcMar>
              <w:top w:w="15" w:type="dxa"/>
              <w:left w:w="15" w:type="dxa"/>
              <w:right w:w="15" w:type="dxa"/>
            </w:tcMar>
            <w:vAlign w:val="center"/>
          </w:tcPr>
          <w:p w14:paraId="509F8911">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eastAsia" w:ascii="Times New Roman" w:hAnsi="Times New Roman" w:cs="Times New Roman"/>
                <w:color w:val="auto"/>
                <w:kern w:val="0"/>
                <w:sz w:val="18"/>
                <w:szCs w:val="18"/>
                <w:highlight w:val="none"/>
                <w:lang w:val="en-US" w:eastAsia="zh-CN"/>
              </w:rPr>
              <w:t>严重</w:t>
            </w:r>
          </w:p>
        </w:tc>
        <w:tc>
          <w:tcPr>
            <w:tcW w:w="533" w:type="pct"/>
            <w:gridSpan w:val="3"/>
            <w:shd w:val="clear" w:color="auto" w:fill="auto"/>
            <w:tcMar>
              <w:top w:w="15" w:type="dxa"/>
              <w:left w:w="15" w:type="dxa"/>
              <w:right w:w="15" w:type="dxa"/>
            </w:tcMar>
            <w:vAlign w:val="center"/>
          </w:tcPr>
          <w:p w14:paraId="7727AA2A">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逾期20天以上改正；</w:t>
            </w:r>
          </w:p>
          <w:p w14:paraId="1EB2C9D6">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涉及建筑垃圾100立方米以上</w:t>
            </w:r>
          </w:p>
        </w:tc>
        <w:tc>
          <w:tcPr>
            <w:tcW w:w="545" w:type="pct"/>
            <w:gridSpan w:val="2"/>
            <w:shd w:val="clear" w:color="auto" w:fill="auto"/>
            <w:tcMar>
              <w:top w:w="15" w:type="dxa"/>
              <w:left w:w="15" w:type="dxa"/>
              <w:right w:w="15" w:type="dxa"/>
            </w:tcMar>
            <w:vAlign w:val="center"/>
          </w:tcPr>
          <w:p w14:paraId="240EA882">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处14.6万元以上20万元以下罚款</w:t>
            </w:r>
          </w:p>
        </w:tc>
        <w:tc>
          <w:tcPr>
            <w:tcW w:w="200" w:type="pct"/>
            <w:gridSpan w:val="2"/>
            <w:vMerge w:val="continue"/>
            <w:shd w:val="clear" w:color="auto" w:fill="auto"/>
            <w:tcMar>
              <w:top w:w="15" w:type="dxa"/>
              <w:left w:w="15" w:type="dxa"/>
              <w:right w:w="15" w:type="dxa"/>
            </w:tcMar>
            <w:vAlign w:val="center"/>
          </w:tcPr>
          <w:p w14:paraId="5BCE5652">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390" w:type="pct"/>
            <w:gridSpan w:val="3"/>
            <w:vMerge w:val="continue"/>
            <w:shd w:val="clear" w:color="auto" w:fill="auto"/>
            <w:tcMar>
              <w:top w:w="15" w:type="dxa"/>
              <w:left w:w="15" w:type="dxa"/>
              <w:right w:w="15" w:type="dxa"/>
            </w:tcMar>
            <w:vAlign w:val="center"/>
          </w:tcPr>
          <w:p w14:paraId="2D230E72">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r>
      <w:tr w14:paraId="4962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117" w:type="pct"/>
            <w:gridSpan w:val="2"/>
            <w:vMerge w:val="restart"/>
            <w:shd w:val="clear" w:color="auto" w:fill="auto"/>
            <w:tcMar>
              <w:top w:w="15" w:type="dxa"/>
              <w:left w:w="15" w:type="dxa"/>
              <w:right w:w="15" w:type="dxa"/>
            </w:tcMar>
            <w:vAlign w:val="center"/>
          </w:tcPr>
          <w:p w14:paraId="0F9E93E2">
            <w:pPr>
              <w:shd w:val="clear"/>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55</w:t>
            </w:r>
          </w:p>
        </w:tc>
        <w:tc>
          <w:tcPr>
            <w:tcW w:w="411" w:type="pct"/>
            <w:gridSpan w:val="2"/>
            <w:vMerge w:val="restart"/>
            <w:shd w:val="clear" w:color="auto" w:fill="auto"/>
            <w:tcMar>
              <w:top w:w="15" w:type="dxa"/>
              <w:left w:w="15" w:type="dxa"/>
              <w:right w:w="15" w:type="dxa"/>
            </w:tcMar>
            <w:vAlign w:val="center"/>
          </w:tcPr>
          <w:p w14:paraId="7ABEC13C">
            <w:pPr>
              <w:shd w:val="clear"/>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eastAsia="zh-CN"/>
              </w:rPr>
              <w:t>运输建筑垃圾单位将工程渣土、工程泥浆与其他建筑垃圾混合运输的</w:t>
            </w:r>
          </w:p>
        </w:tc>
        <w:tc>
          <w:tcPr>
            <w:tcW w:w="1310" w:type="pct"/>
            <w:gridSpan w:val="2"/>
            <w:vMerge w:val="restart"/>
            <w:shd w:val="clear" w:color="auto" w:fill="auto"/>
            <w:tcMar>
              <w:top w:w="15" w:type="dxa"/>
              <w:left w:w="15" w:type="dxa"/>
              <w:right w:w="15" w:type="dxa"/>
            </w:tcMar>
            <w:vAlign w:val="center"/>
          </w:tcPr>
          <w:p w14:paraId="1739383B">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eastAsia="zh-CN"/>
              </w:rPr>
              <w:t>《广东省建筑垃圾管理条例》第十一条第一款第二项：“运输建筑垃圾应当遵守下列规定：（二）不得将工程渣土、工程泥浆与其他建筑垃圾混合运输；”</w:t>
            </w:r>
          </w:p>
        </w:tc>
        <w:tc>
          <w:tcPr>
            <w:tcW w:w="1314" w:type="pct"/>
            <w:gridSpan w:val="2"/>
            <w:vMerge w:val="restart"/>
            <w:shd w:val="clear" w:color="auto" w:fill="auto"/>
            <w:tcMar>
              <w:top w:w="15" w:type="dxa"/>
              <w:left w:w="15" w:type="dxa"/>
              <w:right w:w="15" w:type="dxa"/>
            </w:tcMar>
            <w:vAlign w:val="center"/>
          </w:tcPr>
          <w:p w14:paraId="74FBEA63">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eastAsia="zh-CN"/>
              </w:rPr>
              <w:t>《广东省建筑垃圾管理条例》第二十二条：“违反本条例第十一条第一款第二项规定，将工程渣土、工程泥浆与其他建筑垃圾混合运输的，由县级以上人民政府建筑垃圾主管部门责令改正，处三万元以上三十万元以下的罚款。”</w:t>
            </w:r>
          </w:p>
        </w:tc>
        <w:tc>
          <w:tcPr>
            <w:tcW w:w="177" w:type="pct"/>
            <w:gridSpan w:val="2"/>
            <w:shd w:val="clear" w:color="auto" w:fill="auto"/>
            <w:tcMar>
              <w:top w:w="15" w:type="dxa"/>
              <w:left w:w="15" w:type="dxa"/>
              <w:right w:w="15" w:type="dxa"/>
            </w:tcMar>
            <w:vAlign w:val="center"/>
          </w:tcPr>
          <w:p w14:paraId="0313D1F3">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eastAsia" w:ascii="Times New Roman" w:hAnsi="Times New Roman" w:cs="Times New Roman"/>
                <w:color w:val="auto"/>
                <w:kern w:val="0"/>
                <w:sz w:val="18"/>
                <w:szCs w:val="18"/>
                <w:highlight w:val="none"/>
                <w:lang w:val="en-US" w:eastAsia="zh-CN"/>
              </w:rPr>
              <w:t>轻微</w:t>
            </w:r>
          </w:p>
        </w:tc>
        <w:tc>
          <w:tcPr>
            <w:tcW w:w="533" w:type="pct"/>
            <w:gridSpan w:val="3"/>
            <w:shd w:val="clear" w:color="auto" w:fill="auto"/>
            <w:tcMar>
              <w:top w:w="15" w:type="dxa"/>
              <w:left w:w="15" w:type="dxa"/>
              <w:right w:w="15" w:type="dxa"/>
            </w:tcMar>
            <w:vAlign w:val="center"/>
          </w:tcPr>
          <w:p w14:paraId="5FF85839">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val="en-US" w:eastAsia="zh-CN"/>
              </w:rPr>
              <w:t>涉及建筑垃圾50立方米以下</w:t>
            </w:r>
          </w:p>
        </w:tc>
        <w:tc>
          <w:tcPr>
            <w:tcW w:w="545" w:type="pct"/>
            <w:gridSpan w:val="2"/>
            <w:shd w:val="clear" w:color="auto" w:fill="auto"/>
            <w:tcMar>
              <w:top w:w="15" w:type="dxa"/>
              <w:left w:w="15" w:type="dxa"/>
              <w:right w:w="15" w:type="dxa"/>
            </w:tcMar>
            <w:vAlign w:val="center"/>
          </w:tcPr>
          <w:p w14:paraId="05E78412">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eastAsia="zh-CN"/>
              </w:rPr>
              <w:t>处</w:t>
            </w:r>
            <w:r>
              <w:rPr>
                <w:rFonts w:hint="default" w:ascii="Times New Roman" w:hAnsi="Times New Roman" w:cs="Times New Roman" w:eastAsiaTheme="minorEastAsia"/>
                <w:color w:val="auto"/>
                <w:sz w:val="18"/>
                <w:szCs w:val="18"/>
                <w:highlight w:val="none"/>
                <w:lang w:val="en-US" w:eastAsia="zh-CN"/>
              </w:rPr>
              <w:t>3万元以上11.1万元以下罚款</w:t>
            </w:r>
          </w:p>
        </w:tc>
        <w:tc>
          <w:tcPr>
            <w:tcW w:w="200" w:type="pct"/>
            <w:gridSpan w:val="2"/>
            <w:vMerge w:val="restart"/>
            <w:shd w:val="clear" w:color="auto" w:fill="auto"/>
            <w:tcMar>
              <w:top w:w="15" w:type="dxa"/>
              <w:left w:w="15" w:type="dxa"/>
              <w:right w:w="15" w:type="dxa"/>
            </w:tcMar>
            <w:vAlign w:val="center"/>
          </w:tcPr>
          <w:p w14:paraId="13C0B39B">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sz w:val="18"/>
                <w:szCs w:val="18"/>
                <w:highlight w:val="none"/>
                <w:lang w:eastAsia="zh-CN"/>
              </w:rPr>
              <w:t>责令改正</w:t>
            </w:r>
          </w:p>
        </w:tc>
        <w:tc>
          <w:tcPr>
            <w:tcW w:w="390" w:type="pct"/>
            <w:gridSpan w:val="3"/>
            <w:vMerge w:val="restart"/>
            <w:shd w:val="clear" w:color="auto" w:fill="auto"/>
            <w:tcMar>
              <w:top w:w="15" w:type="dxa"/>
              <w:left w:w="15" w:type="dxa"/>
              <w:right w:w="15" w:type="dxa"/>
            </w:tcMar>
            <w:vAlign w:val="center"/>
          </w:tcPr>
          <w:p w14:paraId="55B0005D">
            <w:pPr>
              <w:shd w:val="clear"/>
              <w:rPr>
                <w:rFonts w:hint="default" w:ascii="Times New Roman" w:hAnsi="Times New Roman" w:cs="Times New Roman" w:eastAsiaTheme="minorEastAsia"/>
                <w:color w:val="auto"/>
                <w:sz w:val="18"/>
                <w:szCs w:val="18"/>
                <w:highlight w:val="none"/>
                <w:lang w:eastAsia="zh-CN"/>
              </w:rPr>
            </w:pPr>
          </w:p>
        </w:tc>
      </w:tr>
      <w:tr w14:paraId="27B6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117" w:type="pct"/>
            <w:gridSpan w:val="2"/>
            <w:vMerge w:val="continue"/>
            <w:shd w:val="clear" w:color="auto" w:fill="auto"/>
            <w:tcMar>
              <w:top w:w="15" w:type="dxa"/>
              <w:left w:w="15" w:type="dxa"/>
              <w:right w:w="15" w:type="dxa"/>
            </w:tcMar>
            <w:vAlign w:val="center"/>
          </w:tcPr>
          <w:p w14:paraId="34CB60D3">
            <w:pPr>
              <w:widowControl/>
              <w:shd w:val="clear"/>
              <w:jc w:val="left"/>
              <w:textAlignment w:val="center"/>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7720B53B">
            <w:pPr>
              <w:widowControl/>
              <w:shd w:val="clear"/>
              <w:jc w:val="left"/>
              <w:textAlignment w:val="center"/>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5BE75E3C">
            <w:pPr>
              <w:widowControl/>
              <w:shd w:val="clear"/>
              <w:jc w:val="left"/>
              <w:textAlignment w:val="center"/>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52C004E1">
            <w:pPr>
              <w:widowControl/>
              <w:shd w:val="clear"/>
              <w:jc w:val="left"/>
              <w:textAlignment w:val="center"/>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41357BE5">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一般</w:t>
            </w:r>
          </w:p>
        </w:tc>
        <w:tc>
          <w:tcPr>
            <w:tcW w:w="533" w:type="pct"/>
            <w:gridSpan w:val="3"/>
            <w:shd w:val="clear" w:color="auto" w:fill="auto"/>
            <w:tcMar>
              <w:top w:w="15" w:type="dxa"/>
              <w:left w:w="15" w:type="dxa"/>
              <w:right w:w="15" w:type="dxa"/>
            </w:tcMar>
            <w:vAlign w:val="center"/>
          </w:tcPr>
          <w:p w14:paraId="4647E827">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涉及建筑垃圾50立方米以上100立方米以下</w:t>
            </w:r>
          </w:p>
        </w:tc>
        <w:tc>
          <w:tcPr>
            <w:tcW w:w="545" w:type="pct"/>
            <w:gridSpan w:val="2"/>
            <w:shd w:val="clear" w:color="auto" w:fill="auto"/>
            <w:tcMar>
              <w:top w:w="15" w:type="dxa"/>
              <w:left w:w="15" w:type="dxa"/>
              <w:right w:w="15" w:type="dxa"/>
            </w:tcMar>
            <w:vAlign w:val="center"/>
          </w:tcPr>
          <w:p w14:paraId="1F543399">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处11.1万元以上21.9万元罚款</w:t>
            </w:r>
          </w:p>
        </w:tc>
        <w:tc>
          <w:tcPr>
            <w:tcW w:w="200" w:type="pct"/>
            <w:gridSpan w:val="2"/>
            <w:vMerge w:val="continue"/>
            <w:shd w:val="clear" w:color="auto" w:fill="auto"/>
            <w:tcMar>
              <w:top w:w="15" w:type="dxa"/>
              <w:left w:w="15" w:type="dxa"/>
              <w:right w:w="15" w:type="dxa"/>
            </w:tcMar>
            <w:vAlign w:val="center"/>
          </w:tcPr>
          <w:p w14:paraId="5EC51936">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390" w:type="pct"/>
            <w:gridSpan w:val="3"/>
            <w:vMerge w:val="continue"/>
            <w:shd w:val="clear" w:color="auto" w:fill="auto"/>
            <w:tcMar>
              <w:top w:w="15" w:type="dxa"/>
              <w:left w:w="15" w:type="dxa"/>
              <w:right w:w="15" w:type="dxa"/>
            </w:tcMar>
            <w:vAlign w:val="center"/>
          </w:tcPr>
          <w:p w14:paraId="2A76DD6E">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r>
      <w:tr w14:paraId="3760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117" w:type="pct"/>
            <w:gridSpan w:val="2"/>
            <w:vMerge w:val="continue"/>
            <w:shd w:val="clear" w:color="auto" w:fill="auto"/>
            <w:tcMar>
              <w:top w:w="15" w:type="dxa"/>
              <w:left w:w="15" w:type="dxa"/>
              <w:right w:w="15" w:type="dxa"/>
            </w:tcMar>
            <w:vAlign w:val="center"/>
          </w:tcPr>
          <w:p w14:paraId="345ECD46">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411" w:type="pct"/>
            <w:gridSpan w:val="2"/>
            <w:vMerge w:val="continue"/>
            <w:shd w:val="clear" w:color="auto" w:fill="auto"/>
            <w:tcMar>
              <w:top w:w="15" w:type="dxa"/>
              <w:left w:w="15" w:type="dxa"/>
              <w:right w:w="15" w:type="dxa"/>
            </w:tcMar>
            <w:vAlign w:val="center"/>
          </w:tcPr>
          <w:p w14:paraId="65CDF72D">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1310" w:type="pct"/>
            <w:gridSpan w:val="2"/>
            <w:vMerge w:val="continue"/>
            <w:shd w:val="clear" w:color="auto" w:fill="auto"/>
            <w:tcMar>
              <w:top w:w="15" w:type="dxa"/>
              <w:left w:w="15" w:type="dxa"/>
              <w:right w:w="15" w:type="dxa"/>
            </w:tcMar>
            <w:vAlign w:val="center"/>
          </w:tcPr>
          <w:p w14:paraId="178FCB7A">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1314" w:type="pct"/>
            <w:gridSpan w:val="2"/>
            <w:vMerge w:val="continue"/>
            <w:shd w:val="clear" w:color="auto" w:fill="auto"/>
            <w:tcMar>
              <w:top w:w="15" w:type="dxa"/>
              <w:left w:w="15" w:type="dxa"/>
              <w:right w:w="15" w:type="dxa"/>
            </w:tcMar>
            <w:vAlign w:val="center"/>
          </w:tcPr>
          <w:p w14:paraId="045DF725">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177" w:type="pct"/>
            <w:gridSpan w:val="2"/>
            <w:shd w:val="clear" w:color="auto" w:fill="auto"/>
            <w:tcMar>
              <w:top w:w="15" w:type="dxa"/>
              <w:left w:w="15" w:type="dxa"/>
              <w:right w:w="15" w:type="dxa"/>
            </w:tcMar>
            <w:vAlign w:val="center"/>
          </w:tcPr>
          <w:p w14:paraId="546925FB">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eastAsia" w:ascii="Times New Roman" w:hAnsi="Times New Roman" w:cs="Times New Roman"/>
                <w:color w:val="auto"/>
                <w:kern w:val="0"/>
                <w:sz w:val="18"/>
                <w:szCs w:val="18"/>
                <w:highlight w:val="none"/>
                <w:lang w:val="en-US" w:eastAsia="zh-CN"/>
              </w:rPr>
              <w:t>严重</w:t>
            </w:r>
          </w:p>
        </w:tc>
        <w:tc>
          <w:tcPr>
            <w:tcW w:w="533" w:type="pct"/>
            <w:gridSpan w:val="3"/>
            <w:shd w:val="clear" w:color="auto" w:fill="auto"/>
            <w:tcMar>
              <w:top w:w="15" w:type="dxa"/>
              <w:left w:w="15" w:type="dxa"/>
              <w:right w:w="15" w:type="dxa"/>
            </w:tcMar>
            <w:vAlign w:val="center"/>
          </w:tcPr>
          <w:p w14:paraId="550D2392">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涉及建筑垃圾100立方米以上</w:t>
            </w:r>
          </w:p>
        </w:tc>
        <w:tc>
          <w:tcPr>
            <w:tcW w:w="545" w:type="pct"/>
            <w:gridSpan w:val="2"/>
            <w:shd w:val="clear" w:color="auto" w:fill="auto"/>
            <w:tcMar>
              <w:top w:w="15" w:type="dxa"/>
              <w:left w:w="15" w:type="dxa"/>
              <w:right w:w="15" w:type="dxa"/>
            </w:tcMar>
            <w:vAlign w:val="center"/>
          </w:tcPr>
          <w:p w14:paraId="263D1340">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处21.9万元以上30万元以下罚款</w:t>
            </w:r>
          </w:p>
        </w:tc>
        <w:tc>
          <w:tcPr>
            <w:tcW w:w="200" w:type="pct"/>
            <w:gridSpan w:val="2"/>
            <w:vMerge w:val="continue"/>
            <w:shd w:val="clear" w:color="auto" w:fill="auto"/>
            <w:tcMar>
              <w:top w:w="15" w:type="dxa"/>
              <w:left w:w="15" w:type="dxa"/>
              <w:right w:w="15" w:type="dxa"/>
            </w:tcMar>
            <w:vAlign w:val="center"/>
          </w:tcPr>
          <w:p w14:paraId="0901B302">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390" w:type="pct"/>
            <w:gridSpan w:val="3"/>
            <w:vMerge w:val="continue"/>
            <w:shd w:val="clear" w:color="auto" w:fill="auto"/>
            <w:tcMar>
              <w:top w:w="15" w:type="dxa"/>
              <w:left w:w="15" w:type="dxa"/>
              <w:right w:w="15" w:type="dxa"/>
            </w:tcMar>
            <w:vAlign w:val="center"/>
          </w:tcPr>
          <w:p w14:paraId="25E0CBBB">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r>
      <w:tr w14:paraId="2795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trPr>
        <w:tc>
          <w:tcPr>
            <w:tcW w:w="117" w:type="pct"/>
            <w:gridSpan w:val="2"/>
            <w:vMerge w:val="restart"/>
            <w:shd w:val="clear" w:color="auto" w:fill="auto"/>
            <w:tcMar>
              <w:top w:w="15" w:type="dxa"/>
              <w:left w:w="15" w:type="dxa"/>
              <w:right w:w="15" w:type="dxa"/>
            </w:tcMar>
            <w:vAlign w:val="center"/>
          </w:tcPr>
          <w:p w14:paraId="32D94BAE">
            <w:pPr>
              <w:shd w:val="clear"/>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56</w:t>
            </w:r>
          </w:p>
        </w:tc>
        <w:tc>
          <w:tcPr>
            <w:tcW w:w="411" w:type="pct"/>
            <w:gridSpan w:val="2"/>
            <w:vMerge w:val="restart"/>
            <w:shd w:val="clear" w:color="auto" w:fill="auto"/>
            <w:tcMar>
              <w:top w:w="15" w:type="dxa"/>
              <w:left w:w="15" w:type="dxa"/>
              <w:right w:w="15" w:type="dxa"/>
            </w:tcMar>
            <w:vAlign w:val="center"/>
          </w:tcPr>
          <w:p w14:paraId="212B1CCB">
            <w:pPr>
              <w:shd w:val="clear"/>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以拖延、围堵、滞留执法人员等方式拒绝、阻挠固体废物有关监督检查，或者在接受监督检查时弄虚作假的</w:t>
            </w:r>
          </w:p>
        </w:tc>
        <w:tc>
          <w:tcPr>
            <w:tcW w:w="1310" w:type="pct"/>
            <w:gridSpan w:val="2"/>
            <w:vMerge w:val="restart"/>
            <w:shd w:val="clear" w:color="auto" w:fill="auto"/>
            <w:tcMar>
              <w:top w:w="15" w:type="dxa"/>
              <w:left w:w="15" w:type="dxa"/>
              <w:right w:w="15" w:type="dxa"/>
            </w:tcMar>
            <w:vAlign w:val="center"/>
          </w:tcPr>
          <w:p w14:paraId="731C0FA8">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中华人民共和国固体废物污染环境防治法》第二十六条第一款：“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tc>
        <w:tc>
          <w:tcPr>
            <w:tcW w:w="1314" w:type="pct"/>
            <w:gridSpan w:val="2"/>
            <w:vMerge w:val="restart"/>
            <w:shd w:val="clear" w:color="auto" w:fill="auto"/>
            <w:tcMar>
              <w:top w:w="15" w:type="dxa"/>
              <w:left w:w="15" w:type="dxa"/>
              <w:right w:w="15" w:type="dxa"/>
            </w:tcMar>
            <w:vAlign w:val="center"/>
          </w:tcPr>
          <w:p w14:paraId="12119628">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中华人民共和国固体废物污染环境防治法》第一百零三条：“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tc>
        <w:tc>
          <w:tcPr>
            <w:tcW w:w="177" w:type="pct"/>
            <w:gridSpan w:val="2"/>
            <w:shd w:val="clear" w:color="auto" w:fill="auto"/>
            <w:tcMar>
              <w:top w:w="15" w:type="dxa"/>
              <w:left w:w="15" w:type="dxa"/>
              <w:right w:w="15" w:type="dxa"/>
            </w:tcMar>
            <w:vAlign w:val="center"/>
          </w:tcPr>
          <w:p w14:paraId="0835332A">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eastAsia" w:ascii="Times New Roman" w:hAnsi="Times New Roman" w:cs="Times New Roman"/>
                <w:color w:val="auto"/>
                <w:kern w:val="0"/>
                <w:sz w:val="18"/>
                <w:szCs w:val="18"/>
                <w:highlight w:val="none"/>
                <w:lang w:val="en-US" w:eastAsia="zh-CN"/>
              </w:rPr>
              <w:t>轻微</w:t>
            </w:r>
          </w:p>
        </w:tc>
        <w:tc>
          <w:tcPr>
            <w:tcW w:w="533" w:type="pct"/>
            <w:gridSpan w:val="3"/>
            <w:shd w:val="clear" w:color="auto" w:fill="auto"/>
            <w:tcMar>
              <w:top w:w="15" w:type="dxa"/>
              <w:left w:w="15" w:type="dxa"/>
              <w:right w:w="15" w:type="dxa"/>
            </w:tcMar>
            <w:vAlign w:val="center"/>
          </w:tcPr>
          <w:p w14:paraId="5D0D3C3A">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bidi="ar-SA"/>
              </w:rPr>
            </w:pPr>
            <w:r>
              <w:rPr>
                <w:rFonts w:hint="default" w:ascii="Times New Roman" w:hAnsi="Times New Roman" w:cs="Times New Roman" w:eastAsiaTheme="minorEastAsia"/>
                <w:color w:val="auto"/>
                <w:kern w:val="0"/>
                <w:sz w:val="18"/>
                <w:szCs w:val="18"/>
                <w:highlight w:val="none"/>
                <w:lang w:eastAsia="zh-CN"/>
              </w:rPr>
              <w:t>初次被查处</w:t>
            </w:r>
          </w:p>
        </w:tc>
        <w:tc>
          <w:tcPr>
            <w:tcW w:w="545" w:type="pct"/>
            <w:gridSpan w:val="2"/>
            <w:shd w:val="clear" w:color="auto" w:fill="auto"/>
            <w:tcMar>
              <w:top w:w="15" w:type="dxa"/>
              <w:left w:w="15" w:type="dxa"/>
              <w:right w:w="15" w:type="dxa"/>
            </w:tcMar>
            <w:vAlign w:val="center"/>
          </w:tcPr>
          <w:p w14:paraId="4DBC0A82">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rPr>
              <w:t>处</w:t>
            </w:r>
            <w:r>
              <w:rPr>
                <w:rFonts w:hint="default" w:ascii="Times New Roman" w:hAnsi="Times New Roman" w:cs="Times New Roman" w:eastAsiaTheme="minorEastAsia"/>
                <w:color w:val="auto"/>
                <w:sz w:val="18"/>
                <w:szCs w:val="18"/>
                <w:highlight w:val="none"/>
                <w:lang w:val="en-US" w:eastAsia="zh-CN"/>
              </w:rPr>
              <w:t>5</w:t>
            </w:r>
            <w:r>
              <w:rPr>
                <w:rFonts w:hint="default" w:ascii="Times New Roman" w:hAnsi="Times New Roman" w:cs="Times New Roman" w:eastAsiaTheme="minorEastAsia"/>
                <w:color w:val="auto"/>
                <w:sz w:val="18"/>
                <w:szCs w:val="18"/>
                <w:highlight w:val="none"/>
              </w:rPr>
              <w:t>万元以上</w:t>
            </w:r>
            <w:r>
              <w:rPr>
                <w:rFonts w:hint="default" w:ascii="Times New Roman" w:hAnsi="Times New Roman" w:cs="Times New Roman" w:eastAsiaTheme="minorEastAsia"/>
                <w:color w:val="auto"/>
                <w:sz w:val="18"/>
                <w:szCs w:val="18"/>
                <w:highlight w:val="none"/>
                <w:lang w:val="en-US" w:eastAsia="zh-CN"/>
              </w:rPr>
              <w:t>9.5</w:t>
            </w:r>
            <w:r>
              <w:rPr>
                <w:rFonts w:hint="default" w:ascii="Times New Roman" w:hAnsi="Times New Roman" w:cs="Times New Roman" w:eastAsiaTheme="minorEastAsia"/>
                <w:color w:val="auto"/>
                <w:sz w:val="18"/>
                <w:szCs w:val="18"/>
                <w:highlight w:val="none"/>
              </w:rPr>
              <w:t>万元以下的罚款；对直接负责的主管人员和其他直接责任人员，处</w:t>
            </w:r>
            <w:r>
              <w:rPr>
                <w:rFonts w:hint="default" w:ascii="Times New Roman" w:hAnsi="Times New Roman" w:cs="Times New Roman" w:eastAsiaTheme="minorEastAsia"/>
                <w:color w:val="auto"/>
                <w:sz w:val="18"/>
                <w:szCs w:val="18"/>
                <w:highlight w:val="none"/>
                <w:lang w:val="en-US" w:eastAsia="zh-CN"/>
              </w:rPr>
              <w:t>2</w:t>
            </w:r>
            <w:r>
              <w:rPr>
                <w:rFonts w:hint="default" w:ascii="Times New Roman" w:hAnsi="Times New Roman" w:cs="Times New Roman" w:eastAsiaTheme="minorEastAsia"/>
                <w:color w:val="auto"/>
                <w:sz w:val="18"/>
                <w:szCs w:val="18"/>
                <w:highlight w:val="none"/>
              </w:rPr>
              <w:t>万元以上</w:t>
            </w:r>
            <w:r>
              <w:rPr>
                <w:rFonts w:hint="default" w:ascii="Times New Roman" w:hAnsi="Times New Roman" w:cs="Times New Roman" w:eastAsiaTheme="minorEastAsia"/>
                <w:color w:val="auto"/>
                <w:sz w:val="18"/>
                <w:szCs w:val="18"/>
                <w:highlight w:val="none"/>
                <w:lang w:val="en-US" w:eastAsia="zh-CN"/>
              </w:rPr>
              <w:t>4.4</w:t>
            </w:r>
            <w:r>
              <w:rPr>
                <w:rFonts w:hint="default" w:ascii="Times New Roman" w:hAnsi="Times New Roman" w:cs="Times New Roman" w:eastAsiaTheme="minorEastAsia"/>
                <w:color w:val="auto"/>
                <w:sz w:val="18"/>
                <w:szCs w:val="18"/>
                <w:highlight w:val="none"/>
              </w:rPr>
              <w:t>万元以下的罚款</w:t>
            </w:r>
          </w:p>
        </w:tc>
        <w:tc>
          <w:tcPr>
            <w:tcW w:w="200" w:type="pct"/>
            <w:gridSpan w:val="2"/>
            <w:vMerge w:val="restart"/>
            <w:shd w:val="clear" w:color="auto" w:fill="auto"/>
            <w:tcMar>
              <w:top w:w="15" w:type="dxa"/>
              <w:left w:w="15" w:type="dxa"/>
              <w:right w:w="15" w:type="dxa"/>
            </w:tcMar>
            <w:vAlign w:val="center"/>
          </w:tcPr>
          <w:p w14:paraId="6DB35D55">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责令改正</w:t>
            </w:r>
          </w:p>
        </w:tc>
        <w:tc>
          <w:tcPr>
            <w:tcW w:w="390" w:type="pct"/>
            <w:gridSpan w:val="3"/>
            <w:vMerge w:val="restart"/>
            <w:shd w:val="clear" w:color="auto" w:fill="auto"/>
            <w:tcMar>
              <w:top w:w="15" w:type="dxa"/>
              <w:left w:w="15" w:type="dxa"/>
              <w:right w:w="15" w:type="dxa"/>
            </w:tcMar>
            <w:vAlign w:val="center"/>
          </w:tcPr>
          <w:p w14:paraId="3A77D3F7">
            <w:pPr>
              <w:shd w:val="clear"/>
              <w:rPr>
                <w:rFonts w:hint="default" w:ascii="Times New Roman" w:hAnsi="Times New Roman" w:cs="Times New Roman" w:eastAsiaTheme="minorEastAsia"/>
                <w:color w:val="auto"/>
                <w:sz w:val="18"/>
                <w:szCs w:val="18"/>
                <w:highlight w:val="none"/>
                <w:lang w:val="en-US" w:eastAsia="zh-CN"/>
              </w:rPr>
            </w:pPr>
          </w:p>
        </w:tc>
      </w:tr>
      <w:tr w14:paraId="02B59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trPr>
        <w:tc>
          <w:tcPr>
            <w:tcW w:w="117" w:type="pct"/>
            <w:gridSpan w:val="2"/>
            <w:vMerge w:val="continue"/>
            <w:shd w:val="clear" w:color="auto" w:fill="auto"/>
            <w:tcMar>
              <w:top w:w="15" w:type="dxa"/>
              <w:left w:w="15" w:type="dxa"/>
              <w:right w:w="15" w:type="dxa"/>
            </w:tcMar>
            <w:vAlign w:val="center"/>
          </w:tcPr>
          <w:p w14:paraId="0B2C9312">
            <w:pPr>
              <w:widowControl/>
              <w:shd w:val="clear"/>
              <w:jc w:val="left"/>
              <w:textAlignment w:val="center"/>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597B344F">
            <w:pPr>
              <w:widowControl/>
              <w:shd w:val="clear"/>
              <w:jc w:val="left"/>
              <w:textAlignment w:val="center"/>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449473DA">
            <w:pPr>
              <w:widowControl/>
              <w:shd w:val="clear"/>
              <w:jc w:val="left"/>
              <w:textAlignment w:val="center"/>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0C392E10">
            <w:pPr>
              <w:widowControl/>
              <w:shd w:val="clear"/>
              <w:jc w:val="left"/>
              <w:textAlignment w:val="center"/>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73370F80">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一般</w:t>
            </w:r>
          </w:p>
        </w:tc>
        <w:tc>
          <w:tcPr>
            <w:tcW w:w="533" w:type="pct"/>
            <w:gridSpan w:val="3"/>
            <w:shd w:val="clear" w:color="auto" w:fill="auto"/>
            <w:tcMar>
              <w:top w:w="15" w:type="dxa"/>
              <w:left w:w="15" w:type="dxa"/>
              <w:right w:w="15" w:type="dxa"/>
            </w:tcMar>
            <w:vAlign w:val="center"/>
          </w:tcPr>
          <w:p w14:paraId="259187CB">
            <w:pPr>
              <w:shd w:val="clear"/>
              <w:jc w:val="left"/>
              <w:rPr>
                <w:rFonts w:hint="default" w:ascii="Times New Roman" w:hAnsi="Times New Roman" w:cs="Times New Roman" w:eastAsiaTheme="minorEastAsia"/>
                <w:color w:val="auto"/>
                <w:kern w:val="0"/>
                <w:sz w:val="18"/>
                <w:szCs w:val="18"/>
                <w:highlight w:val="none"/>
                <w:lang w:val="en-US" w:eastAsia="zh-CN" w:bidi="ar-SA"/>
              </w:rPr>
            </w:pPr>
            <w:r>
              <w:rPr>
                <w:rFonts w:hint="default" w:ascii="Times New Roman" w:hAnsi="Times New Roman" w:cs="Times New Roman" w:eastAsiaTheme="minorEastAsia"/>
                <w:color w:val="auto"/>
                <w:kern w:val="0"/>
                <w:sz w:val="18"/>
                <w:szCs w:val="18"/>
                <w:highlight w:val="none"/>
                <w:lang w:val="en-US" w:eastAsia="zh-CN"/>
              </w:rPr>
              <w:t>2次</w:t>
            </w:r>
            <w:r>
              <w:rPr>
                <w:rFonts w:hint="default" w:ascii="Times New Roman" w:hAnsi="Times New Roman" w:cs="Times New Roman" w:eastAsiaTheme="minorEastAsia"/>
                <w:color w:val="auto"/>
                <w:kern w:val="0"/>
                <w:sz w:val="18"/>
                <w:szCs w:val="18"/>
                <w:highlight w:val="none"/>
                <w:lang w:eastAsia="zh-CN"/>
              </w:rPr>
              <w:t>被查处</w:t>
            </w:r>
          </w:p>
        </w:tc>
        <w:tc>
          <w:tcPr>
            <w:tcW w:w="545" w:type="pct"/>
            <w:gridSpan w:val="2"/>
            <w:shd w:val="clear" w:color="auto" w:fill="auto"/>
            <w:tcMar>
              <w:top w:w="15" w:type="dxa"/>
              <w:left w:w="15" w:type="dxa"/>
              <w:right w:w="15" w:type="dxa"/>
            </w:tcMar>
            <w:vAlign w:val="center"/>
          </w:tcPr>
          <w:p w14:paraId="579E4B3B">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sz w:val="18"/>
                <w:szCs w:val="18"/>
                <w:highlight w:val="none"/>
              </w:rPr>
              <w:t>处</w:t>
            </w:r>
            <w:r>
              <w:rPr>
                <w:rFonts w:hint="default" w:ascii="Times New Roman" w:hAnsi="Times New Roman" w:cs="Times New Roman" w:eastAsiaTheme="minorEastAsia"/>
                <w:color w:val="auto"/>
                <w:sz w:val="18"/>
                <w:szCs w:val="18"/>
                <w:highlight w:val="none"/>
                <w:lang w:val="en-US" w:eastAsia="zh-CN"/>
              </w:rPr>
              <w:t>9.5</w:t>
            </w:r>
            <w:r>
              <w:rPr>
                <w:rFonts w:hint="default" w:ascii="Times New Roman" w:hAnsi="Times New Roman" w:cs="Times New Roman" w:eastAsiaTheme="minorEastAsia"/>
                <w:color w:val="auto"/>
                <w:sz w:val="18"/>
                <w:szCs w:val="18"/>
                <w:highlight w:val="none"/>
              </w:rPr>
              <w:t>万元以上</w:t>
            </w:r>
            <w:r>
              <w:rPr>
                <w:rFonts w:hint="default" w:ascii="Times New Roman" w:hAnsi="Times New Roman" w:cs="Times New Roman" w:eastAsiaTheme="minorEastAsia"/>
                <w:color w:val="auto"/>
                <w:sz w:val="18"/>
                <w:szCs w:val="18"/>
                <w:highlight w:val="none"/>
                <w:lang w:val="en-US" w:eastAsia="zh-CN"/>
              </w:rPr>
              <w:t>15.5</w:t>
            </w:r>
            <w:r>
              <w:rPr>
                <w:rFonts w:hint="default" w:ascii="Times New Roman" w:hAnsi="Times New Roman" w:cs="Times New Roman" w:eastAsiaTheme="minorEastAsia"/>
                <w:color w:val="auto"/>
                <w:sz w:val="18"/>
                <w:szCs w:val="18"/>
                <w:highlight w:val="none"/>
              </w:rPr>
              <w:t>万元以下的罚款；对直接负责的主管人员和其他直接责任人员，处</w:t>
            </w:r>
            <w:r>
              <w:rPr>
                <w:rFonts w:hint="default" w:ascii="Times New Roman" w:hAnsi="Times New Roman" w:cs="Times New Roman" w:eastAsiaTheme="minorEastAsia"/>
                <w:color w:val="auto"/>
                <w:sz w:val="18"/>
                <w:szCs w:val="18"/>
                <w:highlight w:val="none"/>
                <w:lang w:val="en-US" w:eastAsia="zh-CN"/>
              </w:rPr>
              <w:t>4.4</w:t>
            </w:r>
            <w:r>
              <w:rPr>
                <w:rFonts w:hint="default" w:ascii="Times New Roman" w:hAnsi="Times New Roman" w:cs="Times New Roman" w:eastAsiaTheme="minorEastAsia"/>
                <w:color w:val="auto"/>
                <w:sz w:val="18"/>
                <w:szCs w:val="18"/>
                <w:highlight w:val="none"/>
              </w:rPr>
              <w:t>万元以上</w:t>
            </w:r>
            <w:r>
              <w:rPr>
                <w:rFonts w:hint="default" w:ascii="Times New Roman" w:hAnsi="Times New Roman" w:cs="Times New Roman" w:eastAsiaTheme="minorEastAsia"/>
                <w:color w:val="auto"/>
                <w:sz w:val="18"/>
                <w:szCs w:val="18"/>
                <w:highlight w:val="none"/>
                <w:lang w:val="en-US" w:eastAsia="zh-CN"/>
              </w:rPr>
              <w:t>7.6</w:t>
            </w:r>
            <w:r>
              <w:rPr>
                <w:rFonts w:hint="default" w:ascii="Times New Roman" w:hAnsi="Times New Roman" w:cs="Times New Roman" w:eastAsiaTheme="minorEastAsia"/>
                <w:color w:val="auto"/>
                <w:sz w:val="18"/>
                <w:szCs w:val="18"/>
                <w:highlight w:val="none"/>
              </w:rPr>
              <w:t>万元以下的罚款</w:t>
            </w:r>
          </w:p>
        </w:tc>
        <w:tc>
          <w:tcPr>
            <w:tcW w:w="200" w:type="pct"/>
            <w:gridSpan w:val="2"/>
            <w:vMerge w:val="continue"/>
            <w:shd w:val="clear" w:color="auto" w:fill="auto"/>
            <w:tcMar>
              <w:top w:w="15" w:type="dxa"/>
              <w:left w:w="15" w:type="dxa"/>
              <w:right w:w="15" w:type="dxa"/>
            </w:tcMar>
            <w:vAlign w:val="center"/>
          </w:tcPr>
          <w:p w14:paraId="5997812A">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390" w:type="pct"/>
            <w:gridSpan w:val="3"/>
            <w:vMerge w:val="continue"/>
            <w:shd w:val="clear" w:color="auto" w:fill="auto"/>
            <w:tcMar>
              <w:top w:w="15" w:type="dxa"/>
              <w:left w:w="15" w:type="dxa"/>
              <w:right w:w="15" w:type="dxa"/>
            </w:tcMar>
            <w:vAlign w:val="center"/>
          </w:tcPr>
          <w:p w14:paraId="4BBBF42E">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r>
      <w:tr w14:paraId="73C4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trPr>
        <w:tc>
          <w:tcPr>
            <w:tcW w:w="117" w:type="pct"/>
            <w:gridSpan w:val="2"/>
            <w:vMerge w:val="continue"/>
            <w:shd w:val="clear" w:color="auto" w:fill="auto"/>
            <w:tcMar>
              <w:top w:w="15" w:type="dxa"/>
              <w:left w:w="15" w:type="dxa"/>
              <w:right w:w="15" w:type="dxa"/>
            </w:tcMar>
            <w:vAlign w:val="center"/>
          </w:tcPr>
          <w:p w14:paraId="21160C65">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411" w:type="pct"/>
            <w:gridSpan w:val="2"/>
            <w:vMerge w:val="continue"/>
            <w:shd w:val="clear" w:color="auto" w:fill="auto"/>
            <w:tcMar>
              <w:top w:w="15" w:type="dxa"/>
              <w:left w:w="15" w:type="dxa"/>
              <w:right w:w="15" w:type="dxa"/>
            </w:tcMar>
            <w:vAlign w:val="center"/>
          </w:tcPr>
          <w:p w14:paraId="13A58549">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1310" w:type="pct"/>
            <w:gridSpan w:val="2"/>
            <w:vMerge w:val="continue"/>
            <w:shd w:val="clear" w:color="auto" w:fill="auto"/>
            <w:tcMar>
              <w:top w:w="15" w:type="dxa"/>
              <w:left w:w="15" w:type="dxa"/>
              <w:right w:w="15" w:type="dxa"/>
            </w:tcMar>
            <w:vAlign w:val="center"/>
          </w:tcPr>
          <w:p w14:paraId="4C164E6D">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1314" w:type="pct"/>
            <w:gridSpan w:val="2"/>
            <w:vMerge w:val="continue"/>
            <w:shd w:val="clear" w:color="auto" w:fill="auto"/>
            <w:tcMar>
              <w:top w:w="15" w:type="dxa"/>
              <w:left w:w="15" w:type="dxa"/>
              <w:right w:w="15" w:type="dxa"/>
            </w:tcMar>
            <w:vAlign w:val="center"/>
          </w:tcPr>
          <w:p w14:paraId="536B6714">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177" w:type="pct"/>
            <w:gridSpan w:val="2"/>
            <w:shd w:val="clear" w:color="auto" w:fill="auto"/>
            <w:tcMar>
              <w:top w:w="15" w:type="dxa"/>
              <w:left w:w="15" w:type="dxa"/>
              <w:right w:w="15" w:type="dxa"/>
            </w:tcMar>
            <w:vAlign w:val="center"/>
          </w:tcPr>
          <w:p w14:paraId="66C41281">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eastAsia" w:ascii="Times New Roman" w:hAnsi="Times New Roman" w:cs="Times New Roman"/>
                <w:color w:val="auto"/>
                <w:kern w:val="0"/>
                <w:sz w:val="18"/>
                <w:szCs w:val="18"/>
                <w:highlight w:val="none"/>
                <w:lang w:val="en-US" w:eastAsia="zh-CN"/>
              </w:rPr>
              <w:t>严重</w:t>
            </w:r>
          </w:p>
        </w:tc>
        <w:tc>
          <w:tcPr>
            <w:tcW w:w="533" w:type="pct"/>
            <w:gridSpan w:val="3"/>
            <w:shd w:val="clear" w:color="auto" w:fill="auto"/>
            <w:tcMar>
              <w:top w:w="15" w:type="dxa"/>
              <w:left w:w="15" w:type="dxa"/>
              <w:right w:w="15" w:type="dxa"/>
            </w:tcMar>
            <w:vAlign w:val="center"/>
          </w:tcPr>
          <w:p w14:paraId="7201F919">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被查处次数</w:t>
            </w:r>
            <w:r>
              <w:rPr>
                <w:rFonts w:hint="default" w:ascii="Times New Roman" w:hAnsi="Times New Roman" w:cs="Times New Roman" w:eastAsiaTheme="minorEastAsia"/>
                <w:color w:val="auto"/>
                <w:kern w:val="0"/>
                <w:sz w:val="18"/>
                <w:szCs w:val="18"/>
                <w:highlight w:val="none"/>
                <w:lang w:val="en-US" w:eastAsia="zh-CN"/>
              </w:rPr>
              <w:t>3次以上；</w:t>
            </w:r>
          </w:p>
          <w:p w14:paraId="16A02F3E">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造成执法人员人身伤害、证据资料灭失；</w:t>
            </w:r>
          </w:p>
          <w:p w14:paraId="2859E317">
            <w:pPr>
              <w:shd w:val="clear"/>
              <w:jc w:val="left"/>
              <w:rPr>
                <w:rFonts w:hint="default" w:ascii="Times New Roman" w:hAnsi="Times New Roman" w:cs="Times New Roman" w:eastAsiaTheme="minorEastAsia"/>
                <w:color w:val="auto"/>
                <w:kern w:val="0"/>
                <w:sz w:val="18"/>
                <w:szCs w:val="18"/>
                <w:highlight w:val="none"/>
                <w:lang w:val="en-US" w:eastAsia="zh-CN" w:bidi="ar-SA"/>
              </w:rPr>
            </w:pPr>
            <w:r>
              <w:rPr>
                <w:rFonts w:hint="default" w:ascii="Times New Roman" w:hAnsi="Times New Roman" w:cs="Times New Roman" w:eastAsiaTheme="minorEastAsia"/>
                <w:color w:val="auto"/>
                <w:kern w:val="0"/>
                <w:sz w:val="18"/>
                <w:szCs w:val="18"/>
                <w:highlight w:val="none"/>
                <w:lang w:val="en-US" w:eastAsia="zh-CN"/>
              </w:rPr>
              <w:t>引发网络舆情事件、群体性事件等影响社会稳定</w:t>
            </w:r>
          </w:p>
        </w:tc>
        <w:tc>
          <w:tcPr>
            <w:tcW w:w="545" w:type="pct"/>
            <w:gridSpan w:val="2"/>
            <w:shd w:val="clear" w:color="auto" w:fill="auto"/>
            <w:tcMar>
              <w:top w:w="15" w:type="dxa"/>
              <w:left w:w="15" w:type="dxa"/>
              <w:right w:w="15" w:type="dxa"/>
            </w:tcMar>
            <w:vAlign w:val="center"/>
          </w:tcPr>
          <w:p w14:paraId="699867A4">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sz w:val="18"/>
                <w:szCs w:val="18"/>
                <w:highlight w:val="none"/>
              </w:rPr>
              <w:t>处</w:t>
            </w:r>
            <w:r>
              <w:rPr>
                <w:rFonts w:hint="default" w:ascii="Times New Roman" w:hAnsi="Times New Roman" w:cs="Times New Roman" w:eastAsiaTheme="minorEastAsia"/>
                <w:color w:val="auto"/>
                <w:sz w:val="18"/>
                <w:szCs w:val="18"/>
                <w:highlight w:val="none"/>
                <w:lang w:val="en-US" w:eastAsia="zh-CN"/>
              </w:rPr>
              <w:t>15.5</w:t>
            </w:r>
            <w:r>
              <w:rPr>
                <w:rFonts w:hint="default" w:ascii="Times New Roman" w:hAnsi="Times New Roman" w:cs="Times New Roman" w:eastAsiaTheme="minorEastAsia"/>
                <w:color w:val="auto"/>
                <w:sz w:val="18"/>
                <w:szCs w:val="18"/>
                <w:highlight w:val="none"/>
              </w:rPr>
              <w:t>万元以上</w:t>
            </w:r>
            <w:r>
              <w:rPr>
                <w:rFonts w:hint="default" w:ascii="Times New Roman" w:hAnsi="Times New Roman" w:cs="Times New Roman" w:eastAsiaTheme="minorEastAsia"/>
                <w:color w:val="auto"/>
                <w:sz w:val="18"/>
                <w:szCs w:val="18"/>
                <w:highlight w:val="none"/>
                <w:lang w:val="en-US" w:eastAsia="zh-CN"/>
              </w:rPr>
              <w:t>20</w:t>
            </w:r>
            <w:r>
              <w:rPr>
                <w:rFonts w:hint="default" w:ascii="Times New Roman" w:hAnsi="Times New Roman" w:cs="Times New Roman" w:eastAsiaTheme="minorEastAsia"/>
                <w:color w:val="auto"/>
                <w:sz w:val="18"/>
                <w:szCs w:val="18"/>
                <w:highlight w:val="none"/>
              </w:rPr>
              <w:t>万元以下的罚款；对直接负责的主管人员和其他直接责任人员，处</w:t>
            </w:r>
            <w:r>
              <w:rPr>
                <w:rFonts w:hint="default" w:ascii="Times New Roman" w:hAnsi="Times New Roman" w:cs="Times New Roman" w:eastAsiaTheme="minorEastAsia"/>
                <w:color w:val="auto"/>
                <w:sz w:val="18"/>
                <w:szCs w:val="18"/>
                <w:highlight w:val="none"/>
                <w:lang w:val="en-US" w:eastAsia="zh-CN"/>
              </w:rPr>
              <w:t>7.6</w:t>
            </w:r>
            <w:r>
              <w:rPr>
                <w:rFonts w:hint="default" w:ascii="Times New Roman" w:hAnsi="Times New Roman" w:cs="Times New Roman" w:eastAsiaTheme="minorEastAsia"/>
                <w:color w:val="auto"/>
                <w:sz w:val="18"/>
                <w:szCs w:val="18"/>
                <w:highlight w:val="none"/>
              </w:rPr>
              <w:t>万元以上</w:t>
            </w:r>
            <w:r>
              <w:rPr>
                <w:rFonts w:hint="default" w:ascii="Times New Roman" w:hAnsi="Times New Roman" w:cs="Times New Roman" w:eastAsiaTheme="minorEastAsia"/>
                <w:color w:val="auto"/>
                <w:sz w:val="18"/>
                <w:szCs w:val="18"/>
                <w:highlight w:val="none"/>
                <w:lang w:val="en-US" w:eastAsia="zh-CN"/>
              </w:rPr>
              <w:t>10</w:t>
            </w:r>
            <w:r>
              <w:rPr>
                <w:rFonts w:hint="default" w:ascii="Times New Roman" w:hAnsi="Times New Roman" w:cs="Times New Roman" w:eastAsiaTheme="minorEastAsia"/>
                <w:color w:val="auto"/>
                <w:sz w:val="18"/>
                <w:szCs w:val="18"/>
                <w:highlight w:val="none"/>
              </w:rPr>
              <w:t>万元以下的罚款</w:t>
            </w:r>
          </w:p>
        </w:tc>
        <w:tc>
          <w:tcPr>
            <w:tcW w:w="200" w:type="pct"/>
            <w:gridSpan w:val="2"/>
            <w:vMerge w:val="continue"/>
            <w:shd w:val="clear" w:color="auto" w:fill="auto"/>
            <w:tcMar>
              <w:top w:w="15" w:type="dxa"/>
              <w:left w:w="15" w:type="dxa"/>
              <w:right w:w="15" w:type="dxa"/>
            </w:tcMar>
            <w:vAlign w:val="center"/>
          </w:tcPr>
          <w:p w14:paraId="5A90E7BA">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390" w:type="pct"/>
            <w:gridSpan w:val="3"/>
            <w:vMerge w:val="continue"/>
            <w:shd w:val="clear" w:color="auto" w:fill="auto"/>
            <w:tcMar>
              <w:top w:w="15" w:type="dxa"/>
              <w:left w:w="15" w:type="dxa"/>
              <w:right w:w="15" w:type="dxa"/>
            </w:tcMar>
            <w:vAlign w:val="center"/>
          </w:tcPr>
          <w:p w14:paraId="2E12EC16">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r>
      <w:tr w14:paraId="2479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3" w:hRule="atLeast"/>
        </w:trPr>
        <w:tc>
          <w:tcPr>
            <w:tcW w:w="117" w:type="pct"/>
            <w:gridSpan w:val="2"/>
            <w:vMerge w:val="restart"/>
            <w:shd w:val="clear" w:color="auto" w:fill="auto"/>
            <w:tcMar>
              <w:top w:w="15" w:type="dxa"/>
              <w:left w:w="15" w:type="dxa"/>
              <w:right w:w="15" w:type="dxa"/>
            </w:tcMar>
            <w:vAlign w:val="center"/>
          </w:tcPr>
          <w:p w14:paraId="2517E6D3">
            <w:pPr>
              <w:shd w:val="clear"/>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57</w:t>
            </w:r>
          </w:p>
        </w:tc>
        <w:tc>
          <w:tcPr>
            <w:tcW w:w="411" w:type="pct"/>
            <w:gridSpan w:val="2"/>
            <w:vMerge w:val="restart"/>
            <w:shd w:val="clear" w:color="auto" w:fill="auto"/>
            <w:tcMar>
              <w:top w:w="15" w:type="dxa"/>
              <w:left w:w="15" w:type="dxa"/>
              <w:right w:w="15" w:type="dxa"/>
            </w:tcMar>
            <w:vAlign w:val="center"/>
          </w:tcPr>
          <w:p w14:paraId="5F1B822C">
            <w:pPr>
              <w:shd w:val="clear"/>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未经同意擅自设置大型户外广告设施，影响市容的</w:t>
            </w:r>
          </w:p>
        </w:tc>
        <w:tc>
          <w:tcPr>
            <w:tcW w:w="1310" w:type="pct"/>
            <w:gridSpan w:val="2"/>
            <w:vMerge w:val="restart"/>
            <w:shd w:val="clear" w:color="auto" w:fill="auto"/>
            <w:tcMar>
              <w:top w:w="15" w:type="dxa"/>
              <w:left w:w="15" w:type="dxa"/>
              <w:right w:w="15" w:type="dxa"/>
            </w:tcMar>
            <w:vAlign w:val="center"/>
          </w:tcPr>
          <w:p w14:paraId="0A247130">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1.《城市市容和环境卫生管理条例》第十一条第二款：“大型户外广告的设置必须征得城市人民政府市容环境卫生行政主管部门同意后，按照有关规定办理审批手续。”</w:t>
            </w:r>
          </w:p>
          <w:p w14:paraId="428D2E4D">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2.《东莞市户外广告设施和招牌设置管理条例》第十三条：“大型户外广告设施设置必须征得城市管理综合执法部门同意后，按照有关规定办理许可。未经许可，任何单位和个人不得设置。”第二十二条第一款：“因举办大型文化、旅游、体育、公益、庆典活动或者商品交易会、展销会等临时性活动需要临时设置大型户外广告设施的，设置人应当提前五个工作日，按照本条例第十五条规定提交材料。城市管理综合执法部门应当自收到临时大型户外广告设施设置申请后三个工作日内作出决定。”</w:t>
            </w:r>
          </w:p>
        </w:tc>
        <w:tc>
          <w:tcPr>
            <w:tcW w:w="1314" w:type="pct"/>
            <w:gridSpan w:val="2"/>
            <w:vMerge w:val="restart"/>
            <w:shd w:val="clear" w:color="auto" w:fill="auto"/>
            <w:tcMar>
              <w:top w:w="15" w:type="dxa"/>
              <w:left w:w="15" w:type="dxa"/>
              <w:right w:w="15" w:type="dxa"/>
            </w:tcMar>
            <w:vAlign w:val="center"/>
          </w:tcPr>
          <w:p w14:paraId="397739A3">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1.《城市市容和环境卫生管理条例》第三十六条第一项：“有下列行为之一者，由城市人民政府市容环境卫生行政主管部门或者其委托的单位责令其停止违法行为，限期清理、拆除或者采取其他补救措施，并可处以罚款：（一）未经城市人民政府市容环境卫生行政主管部门同意，擅自设置大型户外广告，影响市容的；”</w:t>
            </w:r>
          </w:p>
          <w:p w14:paraId="46106950">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2.《东莞市户外广告设施和招牌设置管理条例》第三十八条：“违反本条例第十三条、第二十二条第一款规定，未经同意擅自设置大型户外广告设施，影响市容的，由城市管理综合执法部门责令停止违法行为，限期清理、拆除或者采取其他补救措施，并可处以五千元以上五万元以下罚款。”</w:t>
            </w:r>
          </w:p>
        </w:tc>
        <w:tc>
          <w:tcPr>
            <w:tcW w:w="177" w:type="pct"/>
            <w:gridSpan w:val="2"/>
            <w:shd w:val="clear" w:color="auto" w:fill="auto"/>
            <w:tcMar>
              <w:top w:w="15" w:type="dxa"/>
              <w:left w:w="15" w:type="dxa"/>
              <w:right w:w="15" w:type="dxa"/>
            </w:tcMar>
            <w:vAlign w:val="center"/>
          </w:tcPr>
          <w:p w14:paraId="46987C10">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eastAsia" w:ascii="Times New Roman" w:hAnsi="Times New Roman" w:cs="Times New Roman"/>
                <w:color w:val="auto"/>
                <w:kern w:val="0"/>
                <w:sz w:val="18"/>
                <w:szCs w:val="18"/>
                <w:highlight w:val="none"/>
                <w:lang w:val="en-US" w:eastAsia="zh-CN"/>
              </w:rPr>
              <w:t>轻微</w:t>
            </w:r>
          </w:p>
        </w:tc>
        <w:tc>
          <w:tcPr>
            <w:tcW w:w="533" w:type="pct"/>
            <w:gridSpan w:val="3"/>
            <w:shd w:val="clear" w:color="auto" w:fill="auto"/>
            <w:tcMar>
              <w:top w:w="15" w:type="dxa"/>
              <w:left w:w="15" w:type="dxa"/>
              <w:right w:w="15" w:type="dxa"/>
            </w:tcMar>
            <w:vAlign w:val="center"/>
          </w:tcPr>
          <w:p w14:paraId="067B21AF">
            <w:pPr>
              <w:widowControl/>
              <w:shd w:val="clear"/>
              <w:textAlignment w:val="center"/>
              <w:rPr>
                <w:rFonts w:hint="default" w:ascii="Times New Roman" w:hAnsi="Times New Roman" w:cs="Times New Roman" w:eastAsiaTheme="minorEastAsia"/>
                <w:color w:val="auto"/>
                <w:kern w:val="0"/>
                <w:sz w:val="18"/>
                <w:szCs w:val="18"/>
                <w:highlight w:val="none"/>
                <w:lang w:val="en-US"/>
              </w:rPr>
            </w:pPr>
            <w:r>
              <w:rPr>
                <w:rFonts w:hint="default" w:ascii="Times New Roman" w:hAnsi="Times New Roman" w:cs="Times New Roman" w:eastAsiaTheme="minorEastAsia"/>
                <w:color w:val="auto"/>
                <w:kern w:val="0"/>
                <w:sz w:val="18"/>
                <w:szCs w:val="18"/>
                <w:highlight w:val="none"/>
              </w:rPr>
              <w:t>户外广告设施</w:t>
            </w:r>
            <w:r>
              <w:rPr>
                <w:rFonts w:hint="default" w:ascii="Times New Roman" w:hAnsi="Times New Roman" w:cs="Times New Roman" w:eastAsiaTheme="minorEastAsia"/>
                <w:color w:val="auto"/>
                <w:kern w:val="0"/>
                <w:sz w:val="18"/>
                <w:szCs w:val="18"/>
                <w:highlight w:val="none"/>
                <w:lang w:eastAsia="zh-CN"/>
              </w:rPr>
              <w:t>单面面积</w:t>
            </w:r>
            <w:r>
              <w:rPr>
                <w:rFonts w:hint="default" w:ascii="Times New Roman" w:hAnsi="Times New Roman" w:cs="Times New Roman" w:eastAsiaTheme="minorEastAsia"/>
                <w:color w:val="auto"/>
                <w:kern w:val="0"/>
                <w:sz w:val="18"/>
                <w:szCs w:val="18"/>
                <w:highlight w:val="none"/>
                <w:lang w:val="en-US" w:eastAsia="zh-CN"/>
              </w:rPr>
              <w:t>30平方米以下</w:t>
            </w:r>
          </w:p>
        </w:tc>
        <w:tc>
          <w:tcPr>
            <w:tcW w:w="545" w:type="pct"/>
            <w:gridSpan w:val="2"/>
            <w:shd w:val="clear" w:color="auto" w:fill="auto"/>
            <w:tcMar>
              <w:top w:w="15" w:type="dxa"/>
              <w:left w:w="15" w:type="dxa"/>
              <w:right w:w="15" w:type="dxa"/>
            </w:tcMar>
            <w:vAlign w:val="center"/>
          </w:tcPr>
          <w:p w14:paraId="77FE4251">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sz w:val="18"/>
                <w:szCs w:val="18"/>
                <w:highlight w:val="none"/>
                <w:lang w:val="en-US" w:eastAsia="zh-CN"/>
              </w:rPr>
              <w:t>可处以5000元以上1.85万元以下罚款</w:t>
            </w:r>
          </w:p>
        </w:tc>
        <w:tc>
          <w:tcPr>
            <w:tcW w:w="200" w:type="pct"/>
            <w:gridSpan w:val="2"/>
            <w:vMerge w:val="restart"/>
            <w:shd w:val="clear" w:color="auto" w:fill="auto"/>
            <w:tcMar>
              <w:top w:w="15" w:type="dxa"/>
              <w:left w:w="15" w:type="dxa"/>
              <w:right w:w="15" w:type="dxa"/>
            </w:tcMar>
            <w:vAlign w:val="center"/>
          </w:tcPr>
          <w:p w14:paraId="05941E1A">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责令停止违法行为，限期清理、拆除或者采取其他补救措施</w:t>
            </w:r>
          </w:p>
        </w:tc>
        <w:tc>
          <w:tcPr>
            <w:tcW w:w="390" w:type="pct"/>
            <w:gridSpan w:val="3"/>
            <w:vMerge w:val="restart"/>
            <w:shd w:val="clear" w:color="auto" w:fill="auto"/>
            <w:tcMar>
              <w:top w:w="15" w:type="dxa"/>
              <w:left w:w="15" w:type="dxa"/>
              <w:right w:w="15" w:type="dxa"/>
            </w:tcMar>
            <w:vAlign w:val="center"/>
          </w:tcPr>
          <w:p w14:paraId="39693E26">
            <w:pPr>
              <w:shd w:val="clear"/>
              <w:rPr>
                <w:rFonts w:hint="default" w:ascii="Times New Roman" w:hAnsi="Times New Roman" w:cs="Times New Roman" w:eastAsiaTheme="minorEastAsia"/>
                <w:color w:val="auto"/>
                <w:sz w:val="18"/>
                <w:szCs w:val="18"/>
                <w:highlight w:val="none"/>
                <w:lang w:val="en-US" w:eastAsia="zh-CN"/>
              </w:rPr>
            </w:pPr>
          </w:p>
        </w:tc>
      </w:tr>
      <w:tr w14:paraId="4719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3" w:hRule="atLeast"/>
        </w:trPr>
        <w:tc>
          <w:tcPr>
            <w:tcW w:w="117" w:type="pct"/>
            <w:gridSpan w:val="2"/>
            <w:vMerge w:val="continue"/>
            <w:shd w:val="clear" w:color="auto" w:fill="auto"/>
            <w:tcMar>
              <w:top w:w="15" w:type="dxa"/>
              <w:left w:w="15" w:type="dxa"/>
              <w:right w:w="15" w:type="dxa"/>
            </w:tcMar>
            <w:vAlign w:val="center"/>
          </w:tcPr>
          <w:p w14:paraId="736A7735">
            <w:pPr>
              <w:shd w:val="clear"/>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3099DF2A">
            <w:pPr>
              <w:shd w:val="clear"/>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2F5391AC">
            <w:pPr>
              <w:shd w:val="clear"/>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1A60FDE9">
            <w:pPr>
              <w:shd w:val="clear"/>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2E9B7556">
            <w:pPr>
              <w:shd w:val="clea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tcMar>
              <w:top w:w="15" w:type="dxa"/>
              <w:left w:w="15" w:type="dxa"/>
              <w:right w:w="15" w:type="dxa"/>
            </w:tcMar>
            <w:vAlign w:val="center"/>
          </w:tcPr>
          <w:p w14:paraId="3FCE01C0">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户外广告设施单面面积30平方米以上60平方米以下</w:t>
            </w:r>
          </w:p>
        </w:tc>
        <w:tc>
          <w:tcPr>
            <w:tcW w:w="545" w:type="pct"/>
            <w:gridSpan w:val="2"/>
            <w:shd w:val="clear" w:color="auto" w:fill="auto"/>
            <w:tcMar>
              <w:top w:w="15" w:type="dxa"/>
              <w:left w:w="15" w:type="dxa"/>
              <w:right w:w="15" w:type="dxa"/>
            </w:tcMar>
            <w:vAlign w:val="center"/>
          </w:tcPr>
          <w:p w14:paraId="10D6621F">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可处1.85万元以上3.65万元以下罚款</w:t>
            </w:r>
          </w:p>
        </w:tc>
        <w:tc>
          <w:tcPr>
            <w:tcW w:w="200" w:type="pct"/>
            <w:gridSpan w:val="2"/>
            <w:vMerge w:val="continue"/>
            <w:shd w:val="clear" w:color="auto" w:fill="auto"/>
            <w:tcMar>
              <w:top w:w="15" w:type="dxa"/>
              <w:left w:w="15" w:type="dxa"/>
              <w:right w:w="15" w:type="dxa"/>
            </w:tcMar>
            <w:vAlign w:val="center"/>
          </w:tcPr>
          <w:p w14:paraId="4A67BE5D">
            <w:pPr>
              <w:shd w:val="clear"/>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1DB287BC">
            <w:pPr>
              <w:shd w:val="clear"/>
              <w:rPr>
                <w:rFonts w:hint="default" w:ascii="Times New Roman" w:hAnsi="Times New Roman" w:cs="Times New Roman" w:eastAsiaTheme="minorEastAsia"/>
                <w:color w:val="auto"/>
                <w:kern w:val="0"/>
                <w:sz w:val="18"/>
                <w:szCs w:val="18"/>
                <w:highlight w:val="none"/>
              </w:rPr>
            </w:pPr>
          </w:p>
        </w:tc>
      </w:tr>
      <w:tr w14:paraId="5567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0" w:hRule="atLeast"/>
        </w:trPr>
        <w:tc>
          <w:tcPr>
            <w:tcW w:w="117" w:type="pct"/>
            <w:gridSpan w:val="2"/>
            <w:vMerge w:val="continue"/>
            <w:shd w:val="clear" w:color="auto" w:fill="auto"/>
            <w:tcMar>
              <w:top w:w="15" w:type="dxa"/>
              <w:left w:w="15" w:type="dxa"/>
              <w:right w:w="15" w:type="dxa"/>
            </w:tcMar>
            <w:vAlign w:val="center"/>
          </w:tcPr>
          <w:p w14:paraId="61CDD0CF">
            <w:pPr>
              <w:shd w:val="clear"/>
              <w:rPr>
                <w:rFonts w:hint="default" w:ascii="Times New Roman" w:hAnsi="Times New Roman" w:cs="Times New Roman" w:eastAsiaTheme="minorEastAsia"/>
                <w:color w:val="auto"/>
                <w:kern w:val="0"/>
                <w:sz w:val="18"/>
                <w:szCs w:val="18"/>
                <w:highlight w:val="none"/>
              </w:rPr>
            </w:pPr>
          </w:p>
        </w:tc>
        <w:tc>
          <w:tcPr>
            <w:tcW w:w="411" w:type="pct"/>
            <w:gridSpan w:val="2"/>
            <w:vMerge w:val="continue"/>
            <w:shd w:val="clear" w:color="auto" w:fill="auto"/>
            <w:tcMar>
              <w:top w:w="15" w:type="dxa"/>
              <w:left w:w="15" w:type="dxa"/>
              <w:right w:w="15" w:type="dxa"/>
            </w:tcMar>
            <w:vAlign w:val="center"/>
          </w:tcPr>
          <w:p w14:paraId="1C1BEAB1">
            <w:pPr>
              <w:shd w:val="clear"/>
              <w:rPr>
                <w:rFonts w:hint="default" w:ascii="Times New Roman" w:hAnsi="Times New Roman" w:cs="Times New Roman" w:eastAsiaTheme="minorEastAsia"/>
                <w:color w:val="auto"/>
                <w:kern w:val="0"/>
                <w:sz w:val="18"/>
                <w:szCs w:val="18"/>
                <w:highlight w:val="none"/>
              </w:rPr>
            </w:pPr>
          </w:p>
        </w:tc>
        <w:tc>
          <w:tcPr>
            <w:tcW w:w="1310" w:type="pct"/>
            <w:gridSpan w:val="2"/>
            <w:vMerge w:val="continue"/>
            <w:shd w:val="clear" w:color="auto" w:fill="auto"/>
            <w:tcMar>
              <w:top w:w="15" w:type="dxa"/>
              <w:left w:w="15" w:type="dxa"/>
              <w:right w:w="15" w:type="dxa"/>
            </w:tcMar>
            <w:vAlign w:val="center"/>
          </w:tcPr>
          <w:p w14:paraId="182C851A">
            <w:pPr>
              <w:shd w:val="clear"/>
              <w:rPr>
                <w:rFonts w:hint="default" w:ascii="Times New Roman" w:hAnsi="Times New Roman" w:cs="Times New Roman" w:eastAsiaTheme="minorEastAsia"/>
                <w:color w:val="auto"/>
                <w:kern w:val="0"/>
                <w:sz w:val="18"/>
                <w:szCs w:val="18"/>
                <w:highlight w:val="none"/>
              </w:rPr>
            </w:pPr>
          </w:p>
        </w:tc>
        <w:tc>
          <w:tcPr>
            <w:tcW w:w="1314" w:type="pct"/>
            <w:gridSpan w:val="2"/>
            <w:vMerge w:val="continue"/>
            <w:shd w:val="clear" w:color="auto" w:fill="auto"/>
            <w:tcMar>
              <w:top w:w="15" w:type="dxa"/>
              <w:left w:w="15" w:type="dxa"/>
              <w:right w:w="15" w:type="dxa"/>
            </w:tcMar>
            <w:vAlign w:val="center"/>
          </w:tcPr>
          <w:p w14:paraId="30A7F8C2">
            <w:pPr>
              <w:shd w:val="clear"/>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099AF03D">
            <w:pPr>
              <w:shd w:val="clea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70DB0598">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户外广告设施单面面积60平方米以上</w:t>
            </w:r>
          </w:p>
        </w:tc>
        <w:tc>
          <w:tcPr>
            <w:tcW w:w="545" w:type="pct"/>
            <w:gridSpan w:val="2"/>
            <w:shd w:val="clear" w:color="auto" w:fill="auto"/>
            <w:tcMar>
              <w:top w:w="15" w:type="dxa"/>
              <w:left w:w="15" w:type="dxa"/>
              <w:right w:w="15" w:type="dxa"/>
            </w:tcMar>
            <w:vAlign w:val="center"/>
          </w:tcPr>
          <w:p w14:paraId="6E907BEE">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可处3.65万元以上5万元以下罚款</w:t>
            </w:r>
          </w:p>
        </w:tc>
        <w:tc>
          <w:tcPr>
            <w:tcW w:w="200" w:type="pct"/>
            <w:gridSpan w:val="2"/>
            <w:vMerge w:val="continue"/>
            <w:shd w:val="clear" w:color="auto" w:fill="auto"/>
            <w:tcMar>
              <w:top w:w="15" w:type="dxa"/>
              <w:left w:w="15" w:type="dxa"/>
              <w:right w:w="15" w:type="dxa"/>
            </w:tcMar>
            <w:vAlign w:val="center"/>
          </w:tcPr>
          <w:p w14:paraId="4F2A71BF">
            <w:pPr>
              <w:shd w:val="clear"/>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1018DE4D">
            <w:pPr>
              <w:shd w:val="clear"/>
              <w:rPr>
                <w:rFonts w:hint="default" w:ascii="Times New Roman" w:hAnsi="Times New Roman" w:cs="Times New Roman" w:eastAsiaTheme="minorEastAsia"/>
                <w:color w:val="auto"/>
                <w:kern w:val="0"/>
                <w:sz w:val="18"/>
                <w:szCs w:val="18"/>
                <w:highlight w:val="none"/>
              </w:rPr>
            </w:pPr>
          </w:p>
        </w:tc>
      </w:tr>
      <w:tr w14:paraId="0B46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trPr>
        <w:tc>
          <w:tcPr>
            <w:tcW w:w="117" w:type="pct"/>
            <w:gridSpan w:val="2"/>
            <w:vMerge w:val="restart"/>
            <w:shd w:val="clear" w:color="auto" w:fill="auto"/>
            <w:tcMar>
              <w:top w:w="15" w:type="dxa"/>
              <w:left w:w="15" w:type="dxa"/>
              <w:right w:w="15" w:type="dxa"/>
            </w:tcMar>
            <w:vAlign w:val="center"/>
          </w:tcPr>
          <w:p w14:paraId="26D19DD2">
            <w:pPr>
              <w:shd w:val="clear"/>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58</w:t>
            </w:r>
          </w:p>
        </w:tc>
        <w:tc>
          <w:tcPr>
            <w:tcW w:w="411" w:type="pct"/>
            <w:gridSpan w:val="2"/>
            <w:vMerge w:val="restart"/>
            <w:shd w:val="clear" w:color="auto" w:fill="auto"/>
            <w:tcMar>
              <w:top w:w="15" w:type="dxa"/>
              <w:left w:w="15" w:type="dxa"/>
              <w:right w:w="15" w:type="dxa"/>
            </w:tcMar>
            <w:vAlign w:val="center"/>
          </w:tcPr>
          <w:p w14:paraId="28F9FF37">
            <w:pPr>
              <w:shd w:val="clear"/>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设置户外广告设施不符合户外广告规划要求的</w:t>
            </w:r>
          </w:p>
        </w:tc>
        <w:tc>
          <w:tcPr>
            <w:tcW w:w="1310" w:type="pct"/>
            <w:gridSpan w:val="2"/>
            <w:vMerge w:val="restart"/>
            <w:shd w:val="clear" w:color="auto" w:fill="auto"/>
            <w:tcMar>
              <w:top w:w="15" w:type="dxa"/>
              <w:left w:w="15" w:type="dxa"/>
              <w:right w:w="15" w:type="dxa"/>
            </w:tcMar>
            <w:vAlign w:val="center"/>
          </w:tcPr>
          <w:p w14:paraId="0B9D33DF">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《东莞市户外广告设施和招牌设置管理条例》　第七条第一款：“户外广告规划包括户外广告专项规划和户外广告设置规划。户外广告专项规划应当明确全市户外广告设施的分类控制空间布局，划分宜设区、严控区和禁设区。户外广告设置规划应当明确户外广告设施的设置地点、数量、位置、形式等具体要求。”</w:t>
            </w:r>
          </w:p>
          <w:p w14:paraId="48BFBC70">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第十一条第一款：“设置户外广告设施应当符合户外广告规划、户外广告设施和招牌设置技术规范的要求。”</w:t>
            </w:r>
          </w:p>
        </w:tc>
        <w:tc>
          <w:tcPr>
            <w:tcW w:w="1314" w:type="pct"/>
            <w:gridSpan w:val="2"/>
            <w:vMerge w:val="restart"/>
            <w:shd w:val="clear" w:color="auto" w:fill="auto"/>
            <w:tcMar>
              <w:top w:w="15" w:type="dxa"/>
              <w:left w:w="15" w:type="dxa"/>
              <w:right w:w="15" w:type="dxa"/>
            </w:tcMar>
            <w:vAlign w:val="center"/>
          </w:tcPr>
          <w:p w14:paraId="3ABF458B">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《东莞市户外广告设施和招牌设置管理条例》　第三十七条第一款：“违反本条例第十一条第一款规定，设置户外广告设施不符合户外广告规划要求的，由城市管理综合执法部门责令停止违法行为，限期拆除，可以处一千元以上五千元以下罚款。”</w:t>
            </w:r>
          </w:p>
        </w:tc>
        <w:tc>
          <w:tcPr>
            <w:tcW w:w="177" w:type="pct"/>
            <w:gridSpan w:val="2"/>
            <w:shd w:val="clear" w:color="auto" w:fill="auto"/>
            <w:tcMar>
              <w:top w:w="15" w:type="dxa"/>
              <w:left w:w="15" w:type="dxa"/>
              <w:right w:w="15" w:type="dxa"/>
            </w:tcMar>
            <w:vAlign w:val="center"/>
          </w:tcPr>
          <w:p w14:paraId="46B5F0B4">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158B60C5">
            <w:pPr>
              <w:widowControl/>
              <w:shd w:val="clea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户外广告设施单面面积</w:t>
            </w:r>
            <w:r>
              <w:rPr>
                <w:rFonts w:hint="default" w:ascii="Times New Roman" w:hAnsi="Times New Roman" w:cs="Times New Roman" w:eastAsiaTheme="minorEastAsia"/>
                <w:color w:val="auto"/>
                <w:kern w:val="0"/>
                <w:sz w:val="18"/>
                <w:szCs w:val="18"/>
                <w:highlight w:val="none"/>
                <w:lang w:val="en-US" w:eastAsia="zh-CN"/>
              </w:rPr>
              <w:t>30平方米以下</w:t>
            </w:r>
          </w:p>
        </w:tc>
        <w:tc>
          <w:tcPr>
            <w:tcW w:w="545" w:type="pct"/>
            <w:gridSpan w:val="2"/>
            <w:shd w:val="clear" w:color="auto" w:fill="auto"/>
            <w:tcMar>
              <w:top w:w="15" w:type="dxa"/>
              <w:left w:w="15" w:type="dxa"/>
              <w:right w:w="15" w:type="dxa"/>
            </w:tcMar>
            <w:vAlign w:val="center"/>
          </w:tcPr>
          <w:p w14:paraId="44357F2A">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sz w:val="18"/>
                <w:szCs w:val="18"/>
                <w:highlight w:val="none"/>
                <w:lang w:val="en-US" w:eastAsia="zh-CN"/>
              </w:rPr>
              <w:t>可处1000元以上2200元以下罚款</w:t>
            </w:r>
          </w:p>
        </w:tc>
        <w:tc>
          <w:tcPr>
            <w:tcW w:w="200" w:type="pct"/>
            <w:gridSpan w:val="2"/>
            <w:vMerge w:val="restart"/>
            <w:shd w:val="clear" w:color="auto" w:fill="auto"/>
            <w:tcMar>
              <w:top w:w="15" w:type="dxa"/>
              <w:left w:w="15" w:type="dxa"/>
              <w:right w:w="15" w:type="dxa"/>
            </w:tcMar>
            <w:vAlign w:val="center"/>
          </w:tcPr>
          <w:p w14:paraId="21296879">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eastAsia="zh-CN"/>
              </w:rPr>
              <w:t>责令停止违法行为，限期拆除</w:t>
            </w:r>
          </w:p>
        </w:tc>
        <w:tc>
          <w:tcPr>
            <w:tcW w:w="390" w:type="pct"/>
            <w:gridSpan w:val="3"/>
            <w:vMerge w:val="restart"/>
            <w:shd w:val="clear" w:color="auto" w:fill="auto"/>
            <w:tcMar>
              <w:top w:w="15" w:type="dxa"/>
              <w:left w:w="15" w:type="dxa"/>
              <w:right w:w="15" w:type="dxa"/>
            </w:tcMar>
            <w:vAlign w:val="center"/>
          </w:tcPr>
          <w:p w14:paraId="1845DC23">
            <w:pPr>
              <w:shd w:val="clear"/>
              <w:rPr>
                <w:rFonts w:hint="default" w:ascii="Times New Roman" w:hAnsi="Times New Roman" w:cs="Times New Roman" w:eastAsiaTheme="minorEastAsia"/>
                <w:color w:val="auto"/>
                <w:sz w:val="18"/>
                <w:szCs w:val="18"/>
                <w:highlight w:val="none"/>
                <w:lang w:val="en-US" w:eastAsia="zh-CN"/>
              </w:rPr>
            </w:pPr>
          </w:p>
        </w:tc>
      </w:tr>
      <w:tr w14:paraId="57C0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trPr>
        <w:tc>
          <w:tcPr>
            <w:tcW w:w="117" w:type="pct"/>
            <w:gridSpan w:val="2"/>
            <w:vMerge w:val="continue"/>
            <w:shd w:val="clear" w:color="auto" w:fill="auto"/>
            <w:tcMar>
              <w:top w:w="15" w:type="dxa"/>
              <w:left w:w="15" w:type="dxa"/>
              <w:right w:w="15" w:type="dxa"/>
            </w:tcMar>
            <w:vAlign w:val="center"/>
          </w:tcPr>
          <w:p w14:paraId="15E1822C">
            <w:pPr>
              <w:shd w:val="clear"/>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3F528486">
            <w:pPr>
              <w:shd w:val="clear"/>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3B5E1C7C">
            <w:pPr>
              <w:shd w:val="clear"/>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576B6F9E">
            <w:pPr>
              <w:shd w:val="clear"/>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4B784012">
            <w:pPr>
              <w:shd w:val="clea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tcMar>
              <w:top w:w="15" w:type="dxa"/>
              <w:left w:w="15" w:type="dxa"/>
              <w:right w:w="15" w:type="dxa"/>
            </w:tcMar>
            <w:vAlign w:val="center"/>
          </w:tcPr>
          <w:p w14:paraId="6BDAC567">
            <w:pPr>
              <w:shd w:val="clear"/>
              <w:rPr>
                <w:rFonts w:hint="default" w:ascii="Times New Roman" w:hAnsi="Times New Roman" w:cs="Times New Roman" w:eastAsiaTheme="minorEastAsia"/>
                <w:color w:val="auto"/>
                <w:kern w:val="0"/>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户外广告设施单面面积30平方米以上60平方米以下</w:t>
            </w:r>
          </w:p>
        </w:tc>
        <w:tc>
          <w:tcPr>
            <w:tcW w:w="545" w:type="pct"/>
            <w:gridSpan w:val="2"/>
            <w:shd w:val="clear" w:color="auto" w:fill="auto"/>
            <w:tcMar>
              <w:top w:w="15" w:type="dxa"/>
              <w:left w:w="15" w:type="dxa"/>
              <w:right w:w="15" w:type="dxa"/>
            </w:tcMar>
            <w:vAlign w:val="center"/>
          </w:tcPr>
          <w:p w14:paraId="65282B6A">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可处2200元以上3800元以下罚款</w:t>
            </w:r>
          </w:p>
        </w:tc>
        <w:tc>
          <w:tcPr>
            <w:tcW w:w="200" w:type="pct"/>
            <w:gridSpan w:val="2"/>
            <w:vMerge w:val="continue"/>
            <w:shd w:val="clear" w:color="auto" w:fill="auto"/>
            <w:tcMar>
              <w:top w:w="15" w:type="dxa"/>
              <w:left w:w="15" w:type="dxa"/>
              <w:right w:w="15" w:type="dxa"/>
            </w:tcMar>
            <w:vAlign w:val="center"/>
          </w:tcPr>
          <w:p w14:paraId="634274D4">
            <w:pPr>
              <w:shd w:val="clear"/>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05C9E786">
            <w:pPr>
              <w:shd w:val="clear"/>
              <w:rPr>
                <w:rFonts w:hint="default" w:ascii="Times New Roman" w:hAnsi="Times New Roman" w:cs="Times New Roman" w:eastAsiaTheme="minorEastAsia"/>
                <w:color w:val="auto"/>
                <w:kern w:val="0"/>
                <w:sz w:val="18"/>
                <w:szCs w:val="18"/>
                <w:highlight w:val="none"/>
              </w:rPr>
            </w:pPr>
          </w:p>
        </w:tc>
      </w:tr>
      <w:tr w14:paraId="5A01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trPr>
        <w:tc>
          <w:tcPr>
            <w:tcW w:w="117" w:type="pct"/>
            <w:gridSpan w:val="2"/>
            <w:vMerge w:val="continue"/>
            <w:shd w:val="clear" w:color="auto" w:fill="auto"/>
            <w:tcMar>
              <w:top w:w="15" w:type="dxa"/>
              <w:left w:w="15" w:type="dxa"/>
              <w:right w:w="15" w:type="dxa"/>
            </w:tcMar>
            <w:vAlign w:val="center"/>
          </w:tcPr>
          <w:p w14:paraId="6FB2ED0A">
            <w:pPr>
              <w:shd w:val="clear"/>
              <w:rPr>
                <w:rFonts w:hint="default" w:ascii="Times New Roman" w:hAnsi="Times New Roman" w:cs="Times New Roman" w:eastAsiaTheme="minorEastAsia"/>
                <w:color w:val="auto"/>
                <w:kern w:val="0"/>
                <w:sz w:val="18"/>
                <w:szCs w:val="18"/>
                <w:highlight w:val="none"/>
              </w:rPr>
            </w:pPr>
          </w:p>
        </w:tc>
        <w:tc>
          <w:tcPr>
            <w:tcW w:w="411" w:type="pct"/>
            <w:gridSpan w:val="2"/>
            <w:vMerge w:val="continue"/>
            <w:shd w:val="clear" w:color="auto" w:fill="auto"/>
            <w:tcMar>
              <w:top w:w="15" w:type="dxa"/>
              <w:left w:w="15" w:type="dxa"/>
              <w:right w:w="15" w:type="dxa"/>
            </w:tcMar>
            <w:vAlign w:val="center"/>
          </w:tcPr>
          <w:p w14:paraId="1823F667">
            <w:pPr>
              <w:shd w:val="clear"/>
              <w:rPr>
                <w:rFonts w:hint="default" w:ascii="Times New Roman" w:hAnsi="Times New Roman" w:cs="Times New Roman" w:eastAsiaTheme="minorEastAsia"/>
                <w:color w:val="auto"/>
                <w:kern w:val="0"/>
                <w:sz w:val="18"/>
                <w:szCs w:val="18"/>
                <w:highlight w:val="none"/>
              </w:rPr>
            </w:pPr>
          </w:p>
        </w:tc>
        <w:tc>
          <w:tcPr>
            <w:tcW w:w="1310" w:type="pct"/>
            <w:gridSpan w:val="2"/>
            <w:vMerge w:val="continue"/>
            <w:shd w:val="clear" w:color="auto" w:fill="auto"/>
            <w:tcMar>
              <w:top w:w="15" w:type="dxa"/>
              <w:left w:w="15" w:type="dxa"/>
              <w:right w:w="15" w:type="dxa"/>
            </w:tcMar>
            <w:vAlign w:val="center"/>
          </w:tcPr>
          <w:p w14:paraId="3A13E719">
            <w:pPr>
              <w:shd w:val="clear"/>
              <w:rPr>
                <w:rFonts w:hint="default" w:ascii="Times New Roman" w:hAnsi="Times New Roman" w:cs="Times New Roman" w:eastAsiaTheme="minorEastAsia"/>
                <w:color w:val="auto"/>
                <w:kern w:val="0"/>
                <w:sz w:val="18"/>
                <w:szCs w:val="18"/>
                <w:highlight w:val="none"/>
              </w:rPr>
            </w:pPr>
          </w:p>
        </w:tc>
        <w:tc>
          <w:tcPr>
            <w:tcW w:w="1314" w:type="pct"/>
            <w:gridSpan w:val="2"/>
            <w:vMerge w:val="continue"/>
            <w:shd w:val="clear" w:color="auto" w:fill="auto"/>
            <w:tcMar>
              <w:top w:w="15" w:type="dxa"/>
              <w:left w:w="15" w:type="dxa"/>
              <w:right w:w="15" w:type="dxa"/>
            </w:tcMar>
            <w:vAlign w:val="center"/>
          </w:tcPr>
          <w:p w14:paraId="60BF23FA">
            <w:pPr>
              <w:shd w:val="clear"/>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2D096983">
            <w:pPr>
              <w:shd w:val="clea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2682B8F6">
            <w:pPr>
              <w:shd w:val="clear"/>
              <w:rPr>
                <w:rFonts w:hint="default" w:ascii="Times New Roman" w:hAnsi="Times New Roman" w:cs="Times New Roman" w:eastAsiaTheme="minorEastAsia"/>
                <w:color w:val="auto"/>
                <w:kern w:val="0"/>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户外广告设施单面面积60平方米以上</w:t>
            </w:r>
          </w:p>
        </w:tc>
        <w:tc>
          <w:tcPr>
            <w:tcW w:w="545" w:type="pct"/>
            <w:gridSpan w:val="2"/>
            <w:shd w:val="clear" w:color="auto" w:fill="auto"/>
            <w:tcMar>
              <w:top w:w="15" w:type="dxa"/>
              <w:left w:w="15" w:type="dxa"/>
              <w:right w:w="15" w:type="dxa"/>
            </w:tcMar>
            <w:vAlign w:val="center"/>
          </w:tcPr>
          <w:p w14:paraId="34D8D8EE">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可处3800元以上5000元以下罚款</w:t>
            </w:r>
          </w:p>
        </w:tc>
        <w:tc>
          <w:tcPr>
            <w:tcW w:w="200" w:type="pct"/>
            <w:gridSpan w:val="2"/>
            <w:vMerge w:val="continue"/>
            <w:shd w:val="clear" w:color="auto" w:fill="auto"/>
            <w:tcMar>
              <w:top w:w="15" w:type="dxa"/>
              <w:left w:w="15" w:type="dxa"/>
              <w:right w:w="15" w:type="dxa"/>
            </w:tcMar>
            <w:vAlign w:val="center"/>
          </w:tcPr>
          <w:p w14:paraId="6AAB07E3">
            <w:pPr>
              <w:shd w:val="clear"/>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247CEE88">
            <w:pPr>
              <w:shd w:val="clear"/>
              <w:rPr>
                <w:rFonts w:hint="default" w:ascii="Times New Roman" w:hAnsi="Times New Roman" w:cs="Times New Roman" w:eastAsiaTheme="minorEastAsia"/>
                <w:color w:val="auto"/>
                <w:kern w:val="0"/>
                <w:sz w:val="18"/>
                <w:szCs w:val="18"/>
                <w:highlight w:val="none"/>
              </w:rPr>
            </w:pPr>
          </w:p>
        </w:tc>
      </w:tr>
      <w:tr w14:paraId="5ACC3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17" w:type="pct"/>
            <w:gridSpan w:val="2"/>
            <w:vMerge w:val="restart"/>
            <w:shd w:val="clear" w:color="auto" w:fill="auto"/>
            <w:tcMar>
              <w:top w:w="15" w:type="dxa"/>
              <w:left w:w="15" w:type="dxa"/>
              <w:right w:w="15" w:type="dxa"/>
            </w:tcMar>
            <w:vAlign w:val="center"/>
          </w:tcPr>
          <w:p w14:paraId="433B6243">
            <w:pPr>
              <w:shd w:val="clear"/>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59</w:t>
            </w:r>
          </w:p>
        </w:tc>
        <w:tc>
          <w:tcPr>
            <w:tcW w:w="411" w:type="pct"/>
            <w:gridSpan w:val="2"/>
            <w:vMerge w:val="restart"/>
            <w:shd w:val="clear" w:color="auto" w:fill="auto"/>
            <w:tcMar>
              <w:top w:w="15" w:type="dxa"/>
              <w:left w:w="15" w:type="dxa"/>
              <w:right w:w="15" w:type="dxa"/>
            </w:tcMar>
            <w:vAlign w:val="center"/>
          </w:tcPr>
          <w:p w14:paraId="78680AE0">
            <w:pPr>
              <w:shd w:val="clear"/>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在禁止时段开启使用以LED大型电子显示屏等光电形式设置户外广告设施</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lang w:val="en-US" w:eastAsia="zh-CN"/>
              </w:rPr>
              <w:t>逾期未改正</w:t>
            </w:r>
            <w:r>
              <w:rPr>
                <w:rFonts w:hint="default" w:ascii="Times New Roman" w:hAnsi="Times New Roman" w:cs="Times New Roman" w:eastAsiaTheme="minorEastAsia"/>
                <w:color w:val="auto"/>
                <w:kern w:val="0"/>
                <w:sz w:val="18"/>
                <w:szCs w:val="18"/>
                <w:highlight w:val="none"/>
              </w:rPr>
              <w:t>的</w:t>
            </w:r>
          </w:p>
        </w:tc>
        <w:tc>
          <w:tcPr>
            <w:tcW w:w="1310" w:type="pct"/>
            <w:gridSpan w:val="2"/>
            <w:vMerge w:val="restart"/>
            <w:shd w:val="clear" w:color="auto" w:fill="auto"/>
            <w:tcMar>
              <w:top w:w="15" w:type="dxa"/>
              <w:left w:w="15" w:type="dxa"/>
              <w:right w:w="15" w:type="dxa"/>
            </w:tcMar>
            <w:vAlign w:val="center"/>
          </w:tcPr>
          <w:p w14:paraId="132A021B">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《东莞市户外广告设施和招牌设置管理条例》　第十八条</w:t>
            </w:r>
            <w:r>
              <w:rPr>
                <w:rFonts w:hint="default" w:ascii="Times New Roman" w:hAnsi="Times New Roman" w:cs="Times New Roman" w:eastAsiaTheme="minorEastAsia"/>
                <w:color w:val="auto"/>
                <w:kern w:val="0"/>
                <w:sz w:val="18"/>
                <w:szCs w:val="18"/>
                <w:highlight w:val="none"/>
                <w:lang w:val="en-US" w:eastAsia="zh-CN"/>
              </w:rPr>
              <w:t>第二项：“</w:t>
            </w:r>
            <w:r>
              <w:rPr>
                <w:rFonts w:hint="default" w:ascii="Times New Roman" w:hAnsi="Times New Roman" w:cs="Times New Roman" w:eastAsiaTheme="minorEastAsia"/>
                <w:color w:val="auto"/>
                <w:kern w:val="0"/>
                <w:sz w:val="18"/>
                <w:szCs w:val="18"/>
                <w:highlight w:val="none"/>
              </w:rPr>
              <w:t>以LED大型电子显示屏等光电形式设置户外广告设施的，应当遵守下列规定：（二）开启时间限制在每日上午八时至晚间十时三十分。</w:t>
            </w:r>
            <w:r>
              <w:rPr>
                <w:rFonts w:hint="default" w:ascii="Times New Roman" w:hAnsi="Times New Roman" w:cs="Times New Roman" w:eastAsiaTheme="minorEastAsia"/>
                <w:color w:val="auto"/>
                <w:kern w:val="0"/>
                <w:sz w:val="18"/>
                <w:szCs w:val="18"/>
                <w:highlight w:val="none"/>
                <w:lang w:eastAsia="zh-CN"/>
              </w:rPr>
              <w:t>”</w:t>
            </w:r>
          </w:p>
        </w:tc>
        <w:tc>
          <w:tcPr>
            <w:tcW w:w="1314" w:type="pct"/>
            <w:gridSpan w:val="2"/>
            <w:vMerge w:val="restart"/>
            <w:shd w:val="clear" w:color="auto" w:fill="auto"/>
            <w:tcMar>
              <w:top w:w="15" w:type="dxa"/>
              <w:left w:w="15" w:type="dxa"/>
              <w:right w:w="15" w:type="dxa"/>
            </w:tcMar>
            <w:vAlign w:val="center"/>
          </w:tcPr>
          <w:p w14:paraId="6B74434D">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《东莞市户外广告设施和招牌设置管理条例》　第三十九条</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违反本条例第十八条第二项规定，在禁止时段开启使用以LED大型电子显示屏等光电形式设置户外广告设施的，由城市管理综合执法部门责令限期改正，逾期未改正的，处以二千元以上五千元以下罚款。</w:t>
            </w:r>
            <w:r>
              <w:rPr>
                <w:rFonts w:hint="default" w:ascii="Times New Roman" w:hAnsi="Times New Roman" w:cs="Times New Roman" w:eastAsiaTheme="minorEastAsia"/>
                <w:color w:val="auto"/>
                <w:kern w:val="0"/>
                <w:sz w:val="18"/>
                <w:szCs w:val="18"/>
                <w:highlight w:val="none"/>
                <w:lang w:eastAsia="zh-CN"/>
              </w:rPr>
              <w:t>”</w:t>
            </w:r>
          </w:p>
        </w:tc>
        <w:tc>
          <w:tcPr>
            <w:tcW w:w="177" w:type="pct"/>
            <w:gridSpan w:val="2"/>
            <w:shd w:val="clear" w:color="auto" w:fill="auto"/>
            <w:tcMar>
              <w:top w:w="15" w:type="dxa"/>
              <w:left w:w="15" w:type="dxa"/>
              <w:right w:w="15" w:type="dxa"/>
            </w:tcMar>
            <w:vAlign w:val="center"/>
          </w:tcPr>
          <w:p w14:paraId="0A2567E0">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264CE6EE">
            <w:pPr>
              <w:widowControl/>
              <w:shd w:val="clea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开启时间在5：00</w:t>
            </w:r>
            <w:r>
              <w:rPr>
                <w:rFonts w:hint="default" w:ascii="Times New Roman" w:hAnsi="Times New Roman" w:cs="Times New Roman" w:eastAsiaTheme="minorEastAsia"/>
                <w:color w:val="auto"/>
                <w:kern w:val="0"/>
                <w:sz w:val="18"/>
                <w:szCs w:val="18"/>
                <w:highlight w:val="none"/>
              </w:rPr>
              <w:t>至</w:t>
            </w:r>
            <w:r>
              <w:rPr>
                <w:rFonts w:hint="default" w:ascii="Times New Roman" w:hAnsi="Times New Roman" w:cs="Times New Roman" w:eastAsiaTheme="minorEastAsia"/>
                <w:color w:val="auto"/>
                <w:kern w:val="0"/>
                <w:sz w:val="18"/>
                <w:szCs w:val="18"/>
                <w:highlight w:val="none"/>
                <w:lang w:val="en-US" w:eastAsia="zh-CN"/>
              </w:rPr>
              <w:t>8：00</w:t>
            </w:r>
          </w:p>
        </w:tc>
        <w:tc>
          <w:tcPr>
            <w:tcW w:w="545" w:type="pct"/>
            <w:gridSpan w:val="2"/>
            <w:shd w:val="clear" w:color="auto" w:fill="auto"/>
            <w:tcMar>
              <w:top w:w="15" w:type="dxa"/>
              <w:left w:w="15" w:type="dxa"/>
              <w:right w:w="15" w:type="dxa"/>
            </w:tcMar>
            <w:vAlign w:val="center"/>
          </w:tcPr>
          <w:p w14:paraId="19E2E449">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sz w:val="18"/>
                <w:szCs w:val="18"/>
                <w:highlight w:val="none"/>
                <w:lang w:val="en-US" w:eastAsia="zh-CN"/>
              </w:rPr>
              <w:t>处以2000元以上2900元以下罚款</w:t>
            </w:r>
          </w:p>
        </w:tc>
        <w:tc>
          <w:tcPr>
            <w:tcW w:w="200" w:type="pct"/>
            <w:gridSpan w:val="2"/>
            <w:vMerge w:val="restart"/>
            <w:shd w:val="clear" w:color="auto" w:fill="auto"/>
            <w:tcMar>
              <w:top w:w="15" w:type="dxa"/>
              <w:left w:w="15" w:type="dxa"/>
              <w:right w:w="15" w:type="dxa"/>
            </w:tcMar>
            <w:vAlign w:val="center"/>
          </w:tcPr>
          <w:p w14:paraId="45484CB2">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责令限期改正</w:t>
            </w:r>
          </w:p>
        </w:tc>
        <w:tc>
          <w:tcPr>
            <w:tcW w:w="390" w:type="pct"/>
            <w:gridSpan w:val="3"/>
            <w:vMerge w:val="restart"/>
            <w:shd w:val="clear" w:color="auto" w:fill="auto"/>
            <w:tcMar>
              <w:top w:w="15" w:type="dxa"/>
              <w:left w:w="15" w:type="dxa"/>
              <w:right w:w="15" w:type="dxa"/>
            </w:tcMar>
            <w:vAlign w:val="center"/>
          </w:tcPr>
          <w:p w14:paraId="7208E928">
            <w:pPr>
              <w:shd w:val="clear"/>
              <w:rPr>
                <w:rFonts w:hint="default" w:ascii="Times New Roman" w:hAnsi="Times New Roman" w:cs="Times New Roman" w:eastAsiaTheme="minorEastAsia"/>
                <w:color w:val="auto"/>
                <w:sz w:val="18"/>
                <w:szCs w:val="18"/>
                <w:highlight w:val="none"/>
                <w:lang w:val="en-US" w:eastAsia="zh-CN"/>
              </w:rPr>
            </w:pPr>
          </w:p>
        </w:tc>
      </w:tr>
      <w:tr w14:paraId="7439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17" w:type="pct"/>
            <w:gridSpan w:val="2"/>
            <w:vMerge w:val="continue"/>
            <w:shd w:val="clear" w:color="auto" w:fill="auto"/>
            <w:tcMar>
              <w:top w:w="15" w:type="dxa"/>
              <w:left w:w="15" w:type="dxa"/>
              <w:right w:w="15" w:type="dxa"/>
            </w:tcMar>
            <w:vAlign w:val="center"/>
          </w:tcPr>
          <w:p w14:paraId="7BB994E2">
            <w:pPr>
              <w:shd w:val="clear"/>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74AA23E6">
            <w:pPr>
              <w:shd w:val="clear"/>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533E9B95">
            <w:pPr>
              <w:shd w:val="clear"/>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42F801E0">
            <w:pPr>
              <w:shd w:val="clear"/>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68821C4E">
            <w:pPr>
              <w:shd w:val="clea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tcMar>
              <w:top w:w="15" w:type="dxa"/>
              <w:left w:w="15" w:type="dxa"/>
              <w:right w:w="15" w:type="dxa"/>
            </w:tcMar>
            <w:vAlign w:val="center"/>
          </w:tcPr>
          <w:p w14:paraId="39125A5D">
            <w:pPr>
              <w:shd w:val="clear"/>
              <w:rPr>
                <w:rFonts w:hint="default" w:ascii="Times New Roman" w:hAnsi="Times New Roman" w:cs="Times New Roman" w:eastAsiaTheme="minorEastAsia"/>
                <w:color w:val="auto"/>
                <w:kern w:val="0"/>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开启时间在3：00至5：00</w:t>
            </w:r>
          </w:p>
        </w:tc>
        <w:tc>
          <w:tcPr>
            <w:tcW w:w="545" w:type="pct"/>
            <w:gridSpan w:val="2"/>
            <w:shd w:val="clear" w:color="auto" w:fill="auto"/>
            <w:tcMar>
              <w:top w:w="15" w:type="dxa"/>
              <w:left w:w="15" w:type="dxa"/>
              <w:right w:w="15" w:type="dxa"/>
            </w:tcMar>
            <w:vAlign w:val="center"/>
          </w:tcPr>
          <w:p w14:paraId="5E5CA559">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处以2900元以上4100元以下罚款</w:t>
            </w:r>
          </w:p>
        </w:tc>
        <w:tc>
          <w:tcPr>
            <w:tcW w:w="200" w:type="pct"/>
            <w:gridSpan w:val="2"/>
            <w:vMerge w:val="continue"/>
            <w:shd w:val="clear" w:color="auto" w:fill="auto"/>
            <w:tcMar>
              <w:top w:w="15" w:type="dxa"/>
              <w:left w:w="15" w:type="dxa"/>
              <w:right w:w="15" w:type="dxa"/>
            </w:tcMar>
            <w:vAlign w:val="center"/>
          </w:tcPr>
          <w:p w14:paraId="04E7F8F1">
            <w:pPr>
              <w:shd w:val="clear"/>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3F88A581">
            <w:pPr>
              <w:shd w:val="clear"/>
              <w:rPr>
                <w:rFonts w:hint="default" w:ascii="Times New Roman" w:hAnsi="Times New Roman" w:cs="Times New Roman" w:eastAsiaTheme="minorEastAsia"/>
                <w:color w:val="auto"/>
                <w:kern w:val="0"/>
                <w:sz w:val="18"/>
                <w:szCs w:val="18"/>
                <w:highlight w:val="none"/>
              </w:rPr>
            </w:pPr>
          </w:p>
        </w:tc>
      </w:tr>
      <w:tr w14:paraId="3AF3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17" w:type="pct"/>
            <w:gridSpan w:val="2"/>
            <w:vMerge w:val="continue"/>
            <w:shd w:val="clear" w:color="auto" w:fill="auto"/>
            <w:tcMar>
              <w:top w:w="15" w:type="dxa"/>
              <w:left w:w="15" w:type="dxa"/>
              <w:right w:w="15" w:type="dxa"/>
            </w:tcMar>
            <w:vAlign w:val="center"/>
          </w:tcPr>
          <w:p w14:paraId="1EFE8F66">
            <w:pPr>
              <w:shd w:val="clear"/>
              <w:rPr>
                <w:rFonts w:hint="default" w:ascii="Times New Roman" w:hAnsi="Times New Roman" w:cs="Times New Roman" w:eastAsiaTheme="minorEastAsia"/>
                <w:color w:val="auto"/>
                <w:kern w:val="0"/>
                <w:sz w:val="18"/>
                <w:szCs w:val="18"/>
                <w:highlight w:val="none"/>
              </w:rPr>
            </w:pPr>
          </w:p>
        </w:tc>
        <w:tc>
          <w:tcPr>
            <w:tcW w:w="411" w:type="pct"/>
            <w:gridSpan w:val="2"/>
            <w:vMerge w:val="continue"/>
            <w:shd w:val="clear" w:color="auto" w:fill="auto"/>
            <w:tcMar>
              <w:top w:w="15" w:type="dxa"/>
              <w:left w:w="15" w:type="dxa"/>
              <w:right w:w="15" w:type="dxa"/>
            </w:tcMar>
            <w:vAlign w:val="center"/>
          </w:tcPr>
          <w:p w14:paraId="02149BCD">
            <w:pPr>
              <w:shd w:val="clear"/>
              <w:rPr>
                <w:rFonts w:hint="default" w:ascii="Times New Roman" w:hAnsi="Times New Roman" w:cs="Times New Roman" w:eastAsiaTheme="minorEastAsia"/>
                <w:color w:val="auto"/>
                <w:kern w:val="0"/>
                <w:sz w:val="18"/>
                <w:szCs w:val="18"/>
                <w:highlight w:val="none"/>
              </w:rPr>
            </w:pPr>
          </w:p>
        </w:tc>
        <w:tc>
          <w:tcPr>
            <w:tcW w:w="1310" w:type="pct"/>
            <w:gridSpan w:val="2"/>
            <w:vMerge w:val="continue"/>
            <w:shd w:val="clear" w:color="auto" w:fill="auto"/>
            <w:tcMar>
              <w:top w:w="15" w:type="dxa"/>
              <w:left w:w="15" w:type="dxa"/>
              <w:right w:w="15" w:type="dxa"/>
            </w:tcMar>
            <w:vAlign w:val="center"/>
          </w:tcPr>
          <w:p w14:paraId="50B72CFC">
            <w:pPr>
              <w:shd w:val="clear"/>
              <w:rPr>
                <w:rFonts w:hint="default" w:ascii="Times New Roman" w:hAnsi="Times New Roman" w:cs="Times New Roman" w:eastAsiaTheme="minorEastAsia"/>
                <w:color w:val="auto"/>
                <w:kern w:val="0"/>
                <w:sz w:val="18"/>
                <w:szCs w:val="18"/>
                <w:highlight w:val="none"/>
              </w:rPr>
            </w:pPr>
          </w:p>
        </w:tc>
        <w:tc>
          <w:tcPr>
            <w:tcW w:w="1314" w:type="pct"/>
            <w:gridSpan w:val="2"/>
            <w:vMerge w:val="continue"/>
            <w:shd w:val="clear" w:color="auto" w:fill="auto"/>
            <w:tcMar>
              <w:top w:w="15" w:type="dxa"/>
              <w:left w:w="15" w:type="dxa"/>
              <w:right w:w="15" w:type="dxa"/>
            </w:tcMar>
            <w:vAlign w:val="center"/>
          </w:tcPr>
          <w:p w14:paraId="7E24384A">
            <w:pPr>
              <w:shd w:val="clear"/>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31D6FD18">
            <w:pPr>
              <w:shd w:val="clea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5B7E3B9B">
            <w:pPr>
              <w:shd w:val="clear"/>
              <w:rPr>
                <w:rFonts w:hint="default" w:ascii="Times New Roman" w:hAnsi="Times New Roman" w:cs="Times New Roman" w:eastAsiaTheme="minorEastAsia"/>
                <w:color w:val="auto"/>
                <w:kern w:val="0"/>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开启时间在22：30至3：00</w:t>
            </w:r>
          </w:p>
        </w:tc>
        <w:tc>
          <w:tcPr>
            <w:tcW w:w="545" w:type="pct"/>
            <w:gridSpan w:val="2"/>
            <w:shd w:val="clear" w:color="auto" w:fill="auto"/>
            <w:tcMar>
              <w:top w:w="15" w:type="dxa"/>
              <w:left w:w="15" w:type="dxa"/>
              <w:right w:w="15" w:type="dxa"/>
            </w:tcMar>
            <w:vAlign w:val="center"/>
          </w:tcPr>
          <w:p w14:paraId="4E89F670">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处以4100元以上5000元以下罚款</w:t>
            </w:r>
          </w:p>
        </w:tc>
        <w:tc>
          <w:tcPr>
            <w:tcW w:w="200" w:type="pct"/>
            <w:gridSpan w:val="2"/>
            <w:vMerge w:val="continue"/>
            <w:shd w:val="clear" w:color="auto" w:fill="auto"/>
            <w:tcMar>
              <w:top w:w="15" w:type="dxa"/>
              <w:left w:w="15" w:type="dxa"/>
              <w:right w:w="15" w:type="dxa"/>
            </w:tcMar>
            <w:vAlign w:val="center"/>
          </w:tcPr>
          <w:p w14:paraId="279D068D">
            <w:pPr>
              <w:shd w:val="clear"/>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5D06D860">
            <w:pPr>
              <w:shd w:val="clear"/>
              <w:rPr>
                <w:rFonts w:hint="default" w:ascii="Times New Roman" w:hAnsi="Times New Roman" w:cs="Times New Roman" w:eastAsiaTheme="minorEastAsia"/>
                <w:color w:val="auto"/>
                <w:kern w:val="0"/>
                <w:sz w:val="18"/>
                <w:szCs w:val="18"/>
                <w:highlight w:val="none"/>
              </w:rPr>
            </w:pPr>
          </w:p>
        </w:tc>
      </w:tr>
      <w:tr w14:paraId="34A84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1" w:hRule="atLeast"/>
        </w:trPr>
        <w:tc>
          <w:tcPr>
            <w:tcW w:w="117" w:type="pct"/>
            <w:gridSpan w:val="2"/>
            <w:vMerge w:val="restart"/>
            <w:shd w:val="clear" w:color="auto" w:fill="auto"/>
            <w:tcMar>
              <w:top w:w="15" w:type="dxa"/>
              <w:left w:w="15" w:type="dxa"/>
              <w:right w:w="15" w:type="dxa"/>
            </w:tcMar>
            <w:vAlign w:val="center"/>
          </w:tcPr>
          <w:p w14:paraId="4C423202">
            <w:pPr>
              <w:shd w:val="clear"/>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60</w:t>
            </w:r>
          </w:p>
        </w:tc>
        <w:tc>
          <w:tcPr>
            <w:tcW w:w="411" w:type="pct"/>
            <w:gridSpan w:val="2"/>
            <w:vMerge w:val="restart"/>
            <w:shd w:val="clear" w:color="auto" w:fill="auto"/>
            <w:tcMar>
              <w:top w:w="15" w:type="dxa"/>
              <w:left w:w="15" w:type="dxa"/>
              <w:right w:w="15" w:type="dxa"/>
            </w:tcMar>
            <w:vAlign w:val="center"/>
          </w:tcPr>
          <w:p w14:paraId="2821420E">
            <w:pPr>
              <w:shd w:val="clear"/>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未经批准张挂、张贴宣传品的</w:t>
            </w:r>
          </w:p>
        </w:tc>
        <w:tc>
          <w:tcPr>
            <w:tcW w:w="1310" w:type="pct"/>
            <w:gridSpan w:val="2"/>
            <w:vMerge w:val="restart"/>
            <w:shd w:val="clear" w:color="auto" w:fill="auto"/>
            <w:tcMar>
              <w:top w:w="15" w:type="dxa"/>
              <w:left w:w="15" w:type="dxa"/>
              <w:right w:w="15" w:type="dxa"/>
            </w:tcMar>
            <w:vAlign w:val="center"/>
          </w:tcPr>
          <w:p w14:paraId="163E0F50">
            <w:pPr>
              <w:widowControl/>
              <w:numPr>
                <w:ilvl w:val="255"/>
                <w:numId w:val="0"/>
              </w:numPr>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1.《城市市容和环境卫生管理条例》第十七条第二款：“单位和个人在城市建筑物、设施上张挂、张贴宣传品等，须经城市人民政府市容环境卫生行政主管部门或者其他有关部门批准。”</w:t>
            </w:r>
          </w:p>
          <w:p w14:paraId="00D1A3A0">
            <w:pPr>
              <w:widowControl/>
              <w:numPr>
                <w:ilvl w:val="255"/>
                <w:numId w:val="0"/>
              </w:numPr>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2.</w:t>
            </w:r>
            <w:r>
              <w:rPr>
                <w:rFonts w:hint="default" w:ascii="Times New Roman" w:hAnsi="Times New Roman" w:cs="Times New Roman" w:eastAsiaTheme="minorEastAsia"/>
                <w:color w:val="auto"/>
                <w:kern w:val="0"/>
                <w:sz w:val="18"/>
                <w:szCs w:val="18"/>
                <w:highlight w:val="none"/>
              </w:rPr>
              <w:t>《东莞市户外广告设施和招牌设置管理条例》　第二十三条</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因公益推广、自身商业宣传需要，在城市建筑物、工地围墙（挡）上，或利用附着于城市道路的公交候车亭、电话亭、公共自行车亭和书报刊亭、灯杆等公共设施，张挂、张贴宣传品的，应当将申请表、设施载体权属证明材料报城市管理综合执法部门提出申请。城市管理综合执法部门应当自收到申请之日起五个工作日内作出决定。</w:t>
            </w:r>
          </w:p>
          <w:p w14:paraId="5DA3B145">
            <w:pPr>
              <w:widowControl/>
              <w:numPr>
                <w:ilvl w:val="255"/>
                <w:numId w:val="0"/>
              </w:numPr>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设置人应当按照批准的范围、地点、数量、规格、内容和期限设置，并保持整洁美观、字迹清晰，无破损、残缺。设置期满之日起二日内，设置人应当将宣传品设施拆除，恢复原状。</w:t>
            </w:r>
          </w:p>
          <w:p w14:paraId="3A21D21C">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利用工地围墙（挡）临时张挂、张贴宣传品设置的期限最长不超过一年；其他张挂、张贴宣传品（公益广告除外）的设置期限最长不超过十五日。</w:t>
            </w:r>
            <w:r>
              <w:rPr>
                <w:rFonts w:hint="default" w:ascii="Times New Roman" w:hAnsi="Times New Roman" w:cs="Times New Roman" w:eastAsiaTheme="minorEastAsia"/>
                <w:color w:val="auto"/>
                <w:kern w:val="0"/>
                <w:sz w:val="18"/>
                <w:szCs w:val="18"/>
                <w:highlight w:val="none"/>
                <w:lang w:eastAsia="zh-CN"/>
              </w:rPr>
              <w:t>”</w:t>
            </w:r>
          </w:p>
        </w:tc>
        <w:tc>
          <w:tcPr>
            <w:tcW w:w="1314" w:type="pct"/>
            <w:gridSpan w:val="2"/>
            <w:vMerge w:val="restart"/>
            <w:shd w:val="clear" w:color="auto" w:fill="auto"/>
            <w:tcMar>
              <w:top w:w="15" w:type="dxa"/>
              <w:left w:w="15" w:type="dxa"/>
              <w:right w:w="15" w:type="dxa"/>
            </w:tcMar>
            <w:vAlign w:val="center"/>
          </w:tcPr>
          <w:p w14:paraId="463B62A4">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1.《城市市容和环境卫生管理条例》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w:t>
            </w:r>
          </w:p>
          <w:p w14:paraId="0FA58885">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2.</w:t>
            </w:r>
            <w:r>
              <w:rPr>
                <w:rFonts w:hint="default" w:ascii="Times New Roman" w:hAnsi="Times New Roman" w:cs="Times New Roman" w:eastAsiaTheme="minorEastAsia"/>
                <w:color w:val="auto"/>
                <w:kern w:val="0"/>
                <w:sz w:val="18"/>
                <w:szCs w:val="18"/>
                <w:highlight w:val="none"/>
              </w:rPr>
              <w:t>《东莞市户外广告设施和招牌设置管理条例》　第四十条</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违反本条例第二十三条规定，未经批准张挂、张贴宣传品的，由城市管理综合执法部门责令纠正违法行为、采取补救措施外，可以并处警告或者五百元以上五千元以下罚款。</w:t>
            </w:r>
            <w:r>
              <w:rPr>
                <w:rFonts w:hint="default" w:ascii="Times New Roman" w:hAnsi="Times New Roman" w:cs="Times New Roman" w:eastAsiaTheme="minorEastAsia"/>
                <w:color w:val="auto"/>
                <w:kern w:val="0"/>
                <w:sz w:val="18"/>
                <w:szCs w:val="18"/>
                <w:highlight w:val="none"/>
                <w:lang w:eastAsia="zh-CN"/>
              </w:rPr>
              <w:t>”</w:t>
            </w:r>
          </w:p>
        </w:tc>
        <w:tc>
          <w:tcPr>
            <w:tcW w:w="177" w:type="pct"/>
            <w:gridSpan w:val="2"/>
            <w:shd w:val="clear" w:color="auto" w:fill="auto"/>
            <w:tcMar>
              <w:top w:w="15" w:type="dxa"/>
              <w:left w:w="15" w:type="dxa"/>
              <w:right w:w="15" w:type="dxa"/>
            </w:tcMar>
            <w:vAlign w:val="center"/>
          </w:tcPr>
          <w:p w14:paraId="4768BE35">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00F6A1C2">
            <w:pPr>
              <w:widowControl/>
              <w:shd w:val="clea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张挂、张贴3处以下；</w:t>
            </w:r>
          </w:p>
          <w:p w14:paraId="1EB74410">
            <w:pPr>
              <w:widowControl/>
              <w:shd w:val="clea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未经批准张挂、张贴宣传品累计5平方米以下</w:t>
            </w:r>
          </w:p>
        </w:tc>
        <w:tc>
          <w:tcPr>
            <w:tcW w:w="545" w:type="pct"/>
            <w:gridSpan w:val="2"/>
            <w:shd w:val="clear" w:color="auto" w:fill="auto"/>
            <w:tcMar>
              <w:top w:w="15" w:type="dxa"/>
              <w:left w:w="15" w:type="dxa"/>
              <w:right w:w="15" w:type="dxa"/>
            </w:tcMar>
            <w:vAlign w:val="center"/>
          </w:tcPr>
          <w:p w14:paraId="396845CD">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sz w:val="18"/>
                <w:szCs w:val="18"/>
                <w:highlight w:val="none"/>
                <w:lang w:val="en-US" w:eastAsia="zh-CN"/>
              </w:rPr>
              <w:t>可以并处警告或者500元以上1850元以下罚款</w:t>
            </w:r>
          </w:p>
        </w:tc>
        <w:tc>
          <w:tcPr>
            <w:tcW w:w="200" w:type="pct"/>
            <w:gridSpan w:val="2"/>
            <w:vMerge w:val="restart"/>
            <w:shd w:val="clear" w:color="auto" w:fill="auto"/>
            <w:tcMar>
              <w:top w:w="15" w:type="dxa"/>
              <w:left w:w="15" w:type="dxa"/>
              <w:right w:w="15" w:type="dxa"/>
            </w:tcMar>
            <w:vAlign w:val="center"/>
          </w:tcPr>
          <w:p w14:paraId="3CCF4EE1">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责令纠正违法行为、采取补救措施</w:t>
            </w:r>
          </w:p>
        </w:tc>
        <w:tc>
          <w:tcPr>
            <w:tcW w:w="390" w:type="pct"/>
            <w:gridSpan w:val="3"/>
            <w:vMerge w:val="restart"/>
            <w:shd w:val="clear" w:color="auto" w:fill="auto"/>
            <w:tcMar>
              <w:top w:w="15" w:type="dxa"/>
              <w:left w:w="15" w:type="dxa"/>
              <w:right w:w="15" w:type="dxa"/>
            </w:tcMar>
            <w:vAlign w:val="center"/>
          </w:tcPr>
          <w:p w14:paraId="4A0A478A">
            <w:pPr>
              <w:shd w:val="clear"/>
              <w:rPr>
                <w:rFonts w:hint="default" w:ascii="Times New Roman" w:hAnsi="Times New Roman" w:cs="Times New Roman" w:eastAsiaTheme="minorEastAsia"/>
                <w:color w:val="auto"/>
                <w:sz w:val="18"/>
                <w:szCs w:val="18"/>
                <w:highlight w:val="none"/>
                <w:lang w:val="en-US" w:eastAsia="zh-CN"/>
              </w:rPr>
            </w:pPr>
          </w:p>
        </w:tc>
      </w:tr>
      <w:tr w14:paraId="2C2D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1" w:hRule="atLeast"/>
        </w:trPr>
        <w:tc>
          <w:tcPr>
            <w:tcW w:w="117" w:type="pct"/>
            <w:gridSpan w:val="2"/>
            <w:vMerge w:val="continue"/>
            <w:shd w:val="clear" w:color="auto" w:fill="auto"/>
            <w:tcMar>
              <w:top w:w="15" w:type="dxa"/>
              <w:left w:w="15" w:type="dxa"/>
              <w:right w:w="15" w:type="dxa"/>
            </w:tcMar>
            <w:vAlign w:val="center"/>
          </w:tcPr>
          <w:p w14:paraId="7E9E8F2A">
            <w:pPr>
              <w:shd w:val="clear"/>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1646F297">
            <w:pPr>
              <w:shd w:val="clear"/>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78230AB4">
            <w:pPr>
              <w:shd w:val="clear"/>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46921553">
            <w:pPr>
              <w:shd w:val="clear"/>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0D5F98F8">
            <w:pPr>
              <w:shd w:val="clea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tcMar>
              <w:top w:w="15" w:type="dxa"/>
              <w:left w:w="15" w:type="dxa"/>
              <w:right w:w="15" w:type="dxa"/>
            </w:tcMar>
            <w:vAlign w:val="center"/>
          </w:tcPr>
          <w:p w14:paraId="6200ADBE">
            <w:pPr>
              <w:shd w:val="clea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张挂、张贴3处以上5处以下；</w:t>
            </w:r>
          </w:p>
          <w:p w14:paraId="3C6F4D13">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未经批准张挂、张贴宣传品累计5平方米以上10平方米以下</w:t>
            </w:r>
          </w:p>
        </w:tc>
        <w:tc>
          <w:tcPr>
            <w:tcW w:w="545" w:type="pct"/>
            <w:gridSpan w:val="2"/>
            <w:shd w:val="clear" w:color="auto" w:fill="auto"/>
            <w:tcMar>
              <w:top w:w="15" w:type="dxa"/>
              <w:left w:w="15" w:type="dxa"/>
              <w:right w:w="15" w:type="dxa"/>
            </w:tcMar>
            <w:vAlign w:val="center"/>
          </w:tcPr>
          <w:p w14:paraId="51DDA254">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可以并处警告或者1850元以上3650元以下罚款</w:t>
            </w:r>
          </w:p>
        </w:tc>
        <w:tc>
          <w:tcPr>
            <w:tcW w:w="200" w:type="pct"/>
            <w:gridSpan w:val="2"/>
            <w:vMerge w:val="continue"/>
            <w:shd w:val="clear" w:color="auto" w:fill="auto"/>
            <w:tcMar>
              <w:top w:w="15" w:type="dxa"/>
              <w:left w:w="15" w:type="dxa"/>
              <w:right w:w="15" w:type="dxa"/>
            </w:tcMar>
            <w:vAlign w:val="center"/>
          </w:tcPr>
          <w:p w14:paraId="3D81F862">
            <w:pPr>
              <w:shd w:val="clear"/>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200F410F">
            <w:pPr>
              <w:shd w:val="clear"/>
              <w:rPr>
                <w:rFonts w:hint="default" w:ascii="Times New Roman" w:hAnsi="Times New Roman" w:cs="Times New Roman" w:eastAsiaTheme="minorEastAsia"/>
                <w:color w:val="auto"/>
                <w:kern w:val="0"/>
                <w:sz w:val="18"/>
                <w:szCs w:val="18"/>
                <w:highlight w:val="none"/>
              </w:rPr>
            </w:pPr>
          </w:p>
        </w:tc>
      </w:tr>
      <w:tr w14:paraId="3849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1" w:hRule="atLeast"/>
        </w:trPr>
        <w:tc>
          <w:tcPr>
            <w:tcW w:w="117" w:type="pct"/>
            <w:gridSpan w:val="2"/>
            <w:vMerge w:val="continue"/>
            <w:shd w:val="clear" w:color="auto" w:fill="auto"/>
            <w:tcMar>
              <w:top w:w="15" w:type="dxa"/>
              <w:left w:w="15" w:type="dxa"/>
              <w:right w:w="15" w:type="dxa"/>
            </w:tcMar>
            <w:vAlign w:val="center"/>
          </w:tcPr>
          <w:p w14:paraId="180A123E">
            <w:pPr>
              <w:shd w:val="clear"/>
              <w:rPr>
                <w:rFonts w:hint="default" w:ascii="Times New Roman" w:hAnsi="Times New Roman" w:cs="Times New Roman" w:eastAsiaTheme="minorEastAsia"/>
                <w:color w:val="auto"/>
                <w:kern w:val="0"/>
                <w:sz w:val="18"/>
                <w:szCs w:val="18"/>
                <w:highlight w:val="none"/>
              </w:rPr>
            </w:pPr>
          </w:p>
        </w:tc>
        <w:tc>
          <w:tcPr>
            <w:tcW w:w="411" w:type="pct"/>
            <w:gridSpan w:val="2"/>
            <w:vMerge w:val="continue"/>
            <w:shd w:val="clear" w:color="auto" w:fill="auto"/>
            <w:tcMar>
              <w:top w:w="15" w:type="dxa"/>
              <w:left w:w="15" w:type="dxa"/>
              <w:right w:w="15" w:type="dxa"/>
            </w:tcMar>
            <w:vAlign w:val="center"/>
          </w:tcPr>
          <w:p w14:paraId="6F081C26">
            <w:pPr>
              <w:shd w:val="clear"/>
              <w:rPr>
                <w:rFonts w:hint="default" w:ascii="Times New Roman" w:hAnsi="Times New Roman" w:cs="Times New Roman" w:eastAsiaTheme="minorEastAsia"/>
                <w:color w:val="auto"/>
                <w:kern w:val="0"/>
                <w:sz w:val="18"/>
                <w:szCs w:val="18"/>
                <w:highlight w:val="none"/>
              </w:rPr>
            </w:pPr>
          </w:p>
        </w:tc>
        <w:tc>
          <w:tcPr>
            <w:tcW w:w="1310" w:type="pct"/>
            <w:gridSpan w:val="2"/>
            <w:vMerge w:val="continue"/>
            <w:shd w:val="clear" w:color="auto" w:fill="auto"/>
            <w:tcMar>
              <w:top w:w="15" w:type="dxa"/>
              <w:left w:w="15" w:type="dxa"/>
              <w:right w:w="15" w:type="dxa"/>
            </w:tcMar>
            <w:vAlign w:val="center"/>
          </w:tcPr>
          <w:p w14:paraId="4C2C71F6">
            <w:pPr>
              <w:shd w:val="clear"/>
              <w:rPr>
                <w:rFonts w:hint="default" w:ascii="Times New Roman" w:hAnsi="Times New Roman" w:cs="Times New Roman" w:eastAsiaTheme="minorEastAsia"/>
                <w:color w:val="auto"/>
                <w:kern w:val="0"/>
                <w:sz w:val="18"/>
                <w:szCs w:val="18"/>
                <w:highlight w:val="none"/>
              </w:rPr>
            </w:pPr>
          </w:p>
        </w:tc>
        <w:tc>
          <w:tcPr>
            <w:tcW w:w="1314" w:type="pct"/>
            <w:gridSpan w:val="2"/>
            <w:vMerge w:val="continue"/>
            <w:shd w:val="clear" w:color="auto" w:fill="auto"/>
            <w:tcMar>
              <w:top w:w="15" w:type="dxa"/>
              <w:left w:w="15" w:type="dxa"/>
              <w:right w:w="15" w:type="dxa"/>
            </w:tcMar>
            <w:vAlign w:val="center"/>
          </w:tcPr>
          <w:p w14:paraId="25AB1397">
            <w:pPr>
              <w:shd w:val="clear"/>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78FC65FB">
            <w:pPr>
              <w:shd w:val="clea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3AF451FE">
            <w:pPr>
              <w:shd w:val="clea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张挂、张贴5处以上；</w:t>
            </w:r>
          </w:p>
          <w:p w14:paraId="6F63800A">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未经批准张挂、张贴宣传品累计10平方米以上</w:t>
            </w:r>
          </w:p>
        </w:tc>
        <w:tc>
          <w:tcPr>
            <w:tcW w:w="545" w:type="pct"/>
            <w:gridSpan w:val="2"/>
            <w:shd w:val="clear" w:color="auto" w:fill="auto"/>
            <w:tcMar>
              <w:top w:w="15" w:type="dxa"/>
              <w:left w:w="15" w:type="dxa"/>
              <w:right w:w="15" w:type="dxa"/>
            </w:tcMar>
            <w:vAlign w:val="center"/>
          </w:tcPr>
          <w:p w14:paraId="765CDEE6">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可以并处警告或者3650元以上5000元以下罚款</w:t>
            </w:r>
          </w:p>
        </w:tc>
        <w:tc>
          <w:tcPr>
            <w:tcW w:w="200" w:type="pct"/>
            <w:gridSpan w:val="2"/>
            <w:vMerge w:val="continue"/>
            <w:shd w:val="clear" w:color="auto" w:fill="auto"/>
            <w:tcMar>
              <w:top w:w="15" w:type="dxa"/>
              <w:left w:w="15" w:type="dxa"/>
              <w:right w:w="15" w:type="dxa"/>
            </w:tcMar>
            <w:vAlign w:val="center"/>
          </w:tcPr>
          <w:p w14:paraId="4F00E336">
            <w:pPr>
              <w:shd w:val="clear"/>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5D994A8B">
            <w:pPr>
              <w:shd w:val="clear"/>
              <w:rPr>
                <w:rFonts w:hint="default" w:ascii="Times New Roman" w:hAnsi="Times New Roman" w:cs="Times New Roman" w:eastAsiaTheme="minorEastAsia"/>
                <w:color w:val="auto"/>
                <w:kern w:val="0"/>
                <w:sz w:val="18"/>
                <w:szCs w:val="18"/>
                <w:highlight w:val="none"/>
              </w:rPr>
            </w:pPr>
          </w:p>
        </w:tc>
      </w:tr>
      <w:tr w14:paraId="53BA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117" w:type="pct"/>
            <w:gridSpan w:val="2"/>
            <w:vMerge w:val="restart"/>
            <w:shd w:val="clear" w:color="auto" w:fill="auto"/>
            <w:tcMar>
              <w:top w:w="15" w:type="dxa"/>
              <w:left w:w="15" w:type="dxa"/>
              <w:right w:w="15" w:type="dxa"/>
            </w:tcMar>
            <w:vAlign w:val="center"/>
          </w:tcPr>
          <w:p w14:paraId="66BAD9F5">
            <w:pPr>
              <w:shd w:val="clear"/>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61</w:t>
            </w:r>
          </w:p>
        </w:tc>
        <w:tc>
          <w:tcPr>
            <w:tcW w:w="411" w:type="pct"/>
            <w:gridSpan w:val="2"/>
            <w:vMerge w:val="restart"/>
            <w:shd w:val="clear" w:color="auto" w:fill="auto"/>
            <w:tcMar>
              <w:top w:w="15" w:type="dxa"/>
              <w:left w:w="15" w:type="dxa"/>
              <w:right w:w="15" w:type="dxa"/>
            </w:tcMar>
            <w:vAlign w:val="center"/>
          </w:tcPr>
          <w:p w14:paraId="7C6B4BDC">
            <w:pPr>
              <w:shd w:val="clear"/>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涂改、出租、出借、倒卖户外广告设施设置许可证，或者以其他形式非法转让户外广告设施设置许可证的</w:t>
            </w:r>
          </w:p>
        </w:tc>
        <w:tc>
          <w:tcPr>
            <w:tcW w:w="1310" w:type="pct"/>
            <w:gridSpan w:val="2"/>
            <w:vMerge w:val="restart"/>
            <w:shd w:val="clear" w:color="auto" w:fill="auto"/>
            <w:tcMar>
              <w:top w:w="15" w:type="dxa"/>
              <w:left w:w="15" w:type="dxa"/>
              <w:right w:w="15" w:type="dxa"/>
            </w:tcMar>
            <w:vAlign w:val="center"/>
          </w:tcPr>
          <w:p w14:paraId="65199001">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《东莞市户外广告设施和招牌设置管理条例》　第二十四条</w:t>
            </w:r>
            <w:r>
              <w:rPr>
                <w:rFonts w:hint="default" w:ascii="Times New Roman" w:hAnsi="Times New Roman" w:cs="Times New Roman" w:eastAsiaTheme="minorEastAsia"/>
                <w:color w:val="auto"/>
                <w:kern w:val="0"/>
                <w:sz w:val="18"/>
                <w:szCs w:val="18"/>
                <w:highlight w:val="none"/>
                <w:lang w:val="en-US" w:eastAsia="zh-CN"/>
              </w:rPr>
              <w:t>第一款：“</w:t>
            </w:r>
            <w:r>
              <w:rPr>
                <w:rFonts w:hint="default" w:ascii="Times New Roman" w:hAnsi="Times New Roman" w:cs="Times New Roman" w:eastAsiaTheme="minorEastAsia"/>
                <w:color w:val="auto"/>
                <w:kern w:val="0"/>
                <w:sz w:val="18"/>
                <w:szCs w:val="18"/>
                <w:highlight w:val="none"/>
              </w:rPr>
              <w:t>任何单位和个人不得涂改、出租、出借、倒卖或者以其他形式非法转让户外广告设施设置许可证。</w:t>
            </w:r>
            <w:r>
              <w:rPr>
                <w:rFonts w:hint="default" w:ascii="Times New Roman" w:hAnsi="Times New Roman" w:cs="Times New Roman" w:eastAsiaTheme="minorEastAsia"/>
                <w:color w:val="auto"/>
                <w:kern w:val="0"/>
                <w:sz w:val="18"/>
                <w:szCs w:val="18"/>
                <w:highlight w:val="none"/>
                <w:lang w:eastAsia="zh-CN"/>
              </w:rPr>
              <w:t>”</w:t>
            </w:r>
          </w:p>
        </w:tc>
        <w:tc>
          <w:tcPr>
            <w:tcW w:w="1314" w:type="pct"/>
            <w:gridSpan w:val="2"/>
            <w:vMerge w:val="restart"/>
            <w:shd w:val="clear" w:color="auto" w:fill="auto"/>
            <w:tcMar>
              <w:top w:w="15" w:type="dxa"/>
              <w:left w:w="15" w:type="dxa"/>
              <w:right w:w="15" w:type="dxa"/>
            </w:tcMar>
            <w:vAlign w:val="center"/>
          </w:tcPr>
          <w:p w14:paraId="3383E8DD">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《东莞市户外广告设施和招牌设置管理条例》　第四十一条</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违反本条例第二十四条第一款规定，涂改、出租、出借、倒卖户外广告设施设置许可证，或者以其他形式非法转让户外广告设施设置许可证的，由城市管理综合执法部门责令改正，并处以一万元以上五万元以下的罚款；情节严重的，吊销户外广告设施设置许可证。</w:t>
            </w:r>
            <w:r>
              <w:rPr>
                <w:rFonts w:hint="default" w:ascii="Times New Roman" w:hAnsi="Times New Roman" w:cs="Times New Roman" w:eastAsiaTheme="minorEastAsia"/>
                <w:color w:val="auto"/>
                <w:kern w:val="0"/>
                <w:sz w:val="18"/>
                <w:szCs w:val="18"/>
                <w:highlight w:val="none"/>
                <w:lang w:eastAsia="zh-CN"/>
              </w:rPr>
              <w:t>”</w:t>
            </w:r>
          </w:p>
        </w:tc>
        <w:tc>
          <w:tcPr>
            <w:tcW w:w="177" w:type="pct"/>
            <w:gridSpan w:val="2"/>
            <w:shd w:val="clear" w:color="auto" w:fill="auto"/>
            <w:tcMar>
              <w:top w:w="15" w:type="dxa"/>
              <w:left w:w="15" w:type="dxa"/>
              <w:right w:w="15" w:type="dxa"/>
            </w:tcMar>
            <w:vAlign w:val="center"/>
          </w:tcPr>
          <w:p w14:paraId="09B90AE3">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751B41D3">
            <w:pPr>
              <w:widowControl/>
              <w:shd w:val="clea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违法行为持续1个月以下，且尚未开展户外广告设施设置</w:t>
            </w:r>
          </w:p>
        </w:tc>
        <w:tc>
          <w:tcPr>
            <w:tcW w:w="545" w:type="pct"/>
            <w:gridSpan w:val="2"/>
            <w:shd w:val="clear" w:color="auto" w:fill="auto"/>
            <w:tcMar>
              <w:top w:w="15" w:type="dxa"/>
              <w:left w:w="15" w:type="dxa"/>
              <w:right w:w="15" w:type="dxa"/>
            </w:tcMar>
            <w:vAlign w:val="center"/>
          </w:tcPr>
          <w:p w14:paraId="53E8746B">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sz w:val="18"/>
                <w:szCs w:val="18"/>
                <w:highlight w:val="none"/>
                <w:lang w:val="en-US" w:eastAsia="zh-CN"/>
              </w:rPr>
              <w:t>处以1万元以上2.2万元以下罚款</w:t>
            </w:r>
            <w:r>
              <w:rPr>
                <w:rFonts w:hint="default" w:ascii="Times New Roman" w:hAnsi="Times New Roman" w:cs="Times New Roman" w:eastAsiaTheme="minorEastAsia"/>
                <w:color w:val="auto"/>
                <w:kern w:val="0"/>
                <w:sz w:val="18"/>
                <w:szCs w:val="18"/>
                <w:highlight w:val="none"/>
              </w:rPr>
              <w:t>；情节严重的，吊销户外广告设施设置许可证</w:t>
            </w:r>
          </w:p>
        </w:tc>
        <w:tc>
          <w:tcPr>
            <w:tcW w:w="200" w:type="pct"/>
            <w:gridSpan w:val="2"/>
            <w:vMerge w:val="restart"/>
            <w:shd w:val="clear" w:color="auto" w:fill="auto"/>
            <w:tcMar>
              <w:top w:w="15" w:type="dxa"/>
              <w:left w:w="15" w:type="dxa"/>
              <w:right w:w="15" w:type="dxa"/>
            </w:tcMar>
            <w:vAlign w:val="center"/>
          </w:tcPr>
          <w:p w14:paraId="1A243501">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责令改正</w:t>
            </w:r>
          </w:p>
        </w:tc>
        <w:tc>
          <w:tcPr>
            <w:tcW w:w="390" w:type="pct"/>
            <w:gridSpan w:val="3"/>
            <w:vMerge w:val="restart"/>
            <w:shd w:val="clear" w:color="auto" w:fill="auto"/>
            <w:tcMar>
              <w:top w:w="15" w:type="dxa"/>
              <w:left w:w="15" w:type="dxa"/>
              <w:right w:w="15" w:type="dxa"/>
            </w:tcMar>
            <w:vAlign w:val="center"/>
          </w:tcPr>
          <w:p w14:paraId="2F25719A">
            <w:pPr>
              <w:shd w:val="clear"/>
              <w:rPr>
                <w:rFonts w:hint="default" w:ascii="Times New Roman" w:hAnsi="Times New Roman" w:cs="Times New Roman" w:eastAsiaTheme="minorEastAsia"/>
                <w:color w:val="auto"/>
                <w:sz w:val="18"/>
                <w:szCs w:val="18"/>
                <w:highlight w:val="none"/>
              </w:rPr>
            </w:pPr>
          </w:p>
        </w:tc>
      </w:tr>
      <w:tr w14:paraId="33D8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17" w:type="pct"/>
            <w:gridSpan w:val="2"/>
            <w:vMerge w:val="continue"/>
            <w:shd w:val="clear" w:color="auto" w:fill="auto"/>
            <w:tcMar>
              <w:top w:w="15" w:type="dxa"/>
              <w:left w:w="15" w:type="dxa"/>
              <w:right w:w="15" w:type="dxa"/>
            </w:tcMar>
            <w:vAlign w:val="center"/>
          </w:tcPr>
          <w:p w14:paraId="6E9B5FA7">
            <w:pPr>
              <w:shd w:val="clear"/>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6E83FCDC">
            <w:pPr>
              <w:shd w:val="clear"/>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2F7D87FB">
            <w:pPr>
              <w:shd w:val="clear"/>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58099B48">
            <w:pPr>
              <w:shd w:val="clear"/>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290CAA20">
            <w:pPr>
              <w:shd w:val="clea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tcMar>
              <w:top w:w="15" w:type="dxa"/>
              <w:left w:w="15" w:type="dxa"/>
              <w:right w:w="15" w:type="dxa"/>
            </w:tcMar>
            <w:vAlign w:val="center"/>
          </w:tcPr>
          <w:p w14:paraId="5FA6C53C">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违法行为持续1个月以下，但已开展户外广告设施设置</w:t>
            </w:r>
          </w:p>
        </w:tc>
        <w:tc>
          <w:tcPr>
            <w:tcW w:w="545" w:type="pct"/>
            <w:gridSpan w:val="2"/>
            <w:shd w:val="clear" w:color="auto" w:fill="auto"/>
            <w:tcMar>
              <w:top w:w="15" w:type="dxa"/>
              <w:left w:w="15" w:type="dxa"/>
              <w:right w:w="15" w:type="dxa"/>
            </w:tcMar>
            <w:vAlign w:val="center"/>
          </w:tcPr>
          <w:p w14:paraId="34481704">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处以2.2万元以上3.8万元以下罚款</w:t>
            </w:r>
            <w:r>
              <w:rPr>
                <w:rFonts w:hint="default" w:ascii="Times New Roman" w:hAnsi="Times New Roman" w:cs="Times New Roman" w:eastAsiaTheme="minorEastAsia"/>
                <w:color w:val="auto"/>
                <w:kern w:val="0"/>
                <w:sz w:val="18"/>
                <w:szCs w:val="18"/>
                <w:highlight w:val="none"/>
              </w:rPr>
              <w:t>；情节严重的，吊销户外广告设施设置许可证</w:t>
            </w:r>
          </w:p>
        </w:tc>
        <w:tc>
          <w:tcPr>
            <w:tcW w:w="200" w:type="pct"/>
            <w:gridSpan w:val="2"/>
            <w:vMerge w:val="continue"/>
            <w:shd w:val="clear" w:color="auto" w:fill="auto"/>
            <w:tcMar>
              <w:top w:w="15" w:type="dxa"/>
              <w:left w:w="15" w:type="dxa"/>
              <w:right w:w="15" w:type="dxa"/>
            </w:tcMar>
            <w:vAlign w:val="center"/>
          </w:tcPr>
          <w:p w14:paraId="2D98E8C2">
            <w:pPr>
              <w:shd w:val="clear"/>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49D64FC8">
            <w:pPr>
              <w:shd w:val="clear"/>
              <w:rPr>
                <w:rFonts w:hint="default" w:ascii="Times New Roman" w:hAnsi="Times New Roman" w:cs="Times New Roman" w:eastAsiaTheme="minorEastAsia"/>
                <w:color w:val="auto"/>
                <w:kern w:val="0"/>
                <w:sz w:val="18"/>
                <w:szCs w:val="18"/>
                <w:highlight w:val="none"/>
              </w:rPr>
            </w:pPr>
          </w:p>
        </w:tc>
      </w:tr>
      <w:tr w14:paraId="61125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117" w:type="pct"/>
            <w:gridSpan w:val="2"/>
            <w:vMerge w:val="continue"/>
            <w:shd w:val="clear" w:color="auto" w:fill="auto"/>
            <w:tcMar>
              <w:top w:w="15" w:type="dxa"/>
              <w:left w:w="15" w:type="dxa"/>
              <w:right w:w="15" w:type="dxa"/>
            </w:tcMar>
            <w:vAlign w:val="center"/>
          </w:tcPr>
          <w:p w14:paraId="76F0EB02">
            <w:pPr>
              <w:shd w:val="clear"/>
              <w:rPr>
                <w:rFonts w:hint="default" w:ascii="Times New Roman" w:hAnsi="Times New Roman" w:cs="Times New Roman" w:eastAsiaTheme="minorEastAsia"/>
                <w:color w:val="auto"/>
                <w:kern w:val="0"/>
                <w:sz w:val="18"/>
                <w:szCs w:val="18"/>
                <w:highlight w:val="none"/>
              </w:rPr>
            </w:pPr>
          </w:p>
        </w:tc>
        <w:tc>
          <w:tcPr>
            <w:tcW w:w="411" w:type="pct"/>
            <w:gridSpan w:val="2"/>
            <w:vMerge w:val="continue"/>
            <w:shd w:val="clear" w:color="auto" w:fill="auto"/>
            <w:tcMar>
              <w:top w:w="15" w:type="dxa"/>
              <w:left w:w="15" w:type="dxa"/>
              <w:right w:w="15" w:type="dxa"/>
            </w:tcMar>
            <w:vAlign w:val="center"/>
          </w:tcPr>
          <w:p w14:paraId="064C8070">
            <w:pPr>
              <w:shd w:val="clear"/>
              <w:rPr>
                <w:rFonts w:hint="default" w:ascii="Times New Roman" w:hAnsi="Times New Roman" w:cs="Times New Roman" w:eastAsiaTheme="minorEastAsia"/>
                <w:color w:val="auto"/>
                <w:kern w:val="0"/>
                <w:sz w:val="18"/>
                <w:szCs w:val="18"/>
                <w:highlight w:val="none"/>
              </w:rPr>
            </w:pPr>
          </w:p>
        </w:tc>
        <w:tc>
          <w:tcPr>
            <w:tcW w:w="1310" w:type="pct"/>
            <w:gridSpan w:val="2"/>
            <w:vMerge w:val="continue"/>
            <w:shd w:val="clear" w:color="auto" w:fill="auto"/>
            <w:tcMar>
              <w:top w:w="15" w:type="dxa"/>
              <w:left w:w="15" w:type="dxa"/>
              <w:right w:w="15" w:type="dxa"/>
            </w:tcMar>
            <w:vAlign w:val="center"/>
          </w:tcPr>
          <w:p w14:paraId="3B9BE036">
            <w:pPr>
              <w:shd w:val="clear"/>
              <w:rPr>
                <w:rFonts w:hint="default" w:ascii="Times New Roman" w:hAnsi="Times New Roman" w:cs="Times New Roman" w:eastAsiaTheme="minorEastAsia"/>
                <w:color w:val="auto"/>
                <w:kern w:val="0"/>
                <w:sz w:val="18"/>
                <w:szCs w:val="18"/>
                <w:highlight w:val="none"/>
              </w:rPr>
            </w:pPr>
          </w:p>
        </w:tc>
        <w:tc>
          <w:tcPr>
            <w:tcW w:w="1314" w:type="pct"/>
            <w:gridSpan w:val="2"/>
            <w:vMerge w:val="continue"/>
            <w:shd w:val="clear" w:color="auto" w:fill="auto"/>
            <w:tcMar>
              <w:top w:w="15" w:type="dxa"/>
              <w:left w:w="15" w:type="dxa"/>
              <w:right w:w="15" w:type="dxa"/>
            </w:tcMar>
            <w:vAlign w:val="center"/>
          </w:tcPr>
          <w:p w14:paraId="3407E47A">
            <w:pPr>
              <w:shd w:val="clear"/>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61B25E09">
            <w:pPr>
              <w:shd w:val="clea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3E1449EF">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违法行为持续1个月以上</w:t>
            </w:r>
          </w:p>
        </w:tc>
        <w:tc>
          <w:tcPr>
            <w:tcW w:w="545" w:type="pct"/>
            <w:gridSpan w:val="2"/>
            <w:shd w:val="clear" w:color="auto" w:fill="auto"/>
            <w:tcMar>
              <w:top w:w="15" w:type="dxa"/>
              <w:left w:w="15" w:type="dxa"/>
              <w:right w:w="15" w:type="dxa"/>
            </w:tcMar>
            <w:vAlign w:val="center"/>
          </w:tcPr>
          <w:p w14:paraId="47C829DA">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处以3.8万元以上5万元以下罚款；</w:t>
            </w:r>
            <w:r>
              <w:rPr>
                <w:rFonts w:hint="default" w:ascii="Times New Roman" w:hAnsi="Times New Roman" w:cs="Times New Roman" w:eastAsiaTheme="minorEastAsia"/>
                <w:color w:val="auto"/>
                <w:kern w:val="0"/>
                <w:sz w:val="18"/>
                <w:szCs w:val="18"/>
                <w:highlight w:val="none"/>
              </w:rPr>
              <w:t>情节严重的，吊销户外广告设施设置许可证</w:t>
            </w:r>
          </w:p>
        </w:tc>
        <w:tc>
          <w:tcPr>
            <w:tcW w:w="200" w:type="pct"/>
            <w:gridSpan w:val="2"/>
            <w:vMerge w:val="continue"/>
            <w:shd w:val="clear" w:color="auto" w:fill="auto"/>
            <w:tcMar>
              <w:top w:w="15" w:type="dxa"/>
              <w:left w:w="15" w:type="dxa"/>
              <w:right w:w="15" w:type="dxa"/>
            </w:tcMar>
            <w:vAlign w:val="center"/>
          </w:tcPr>
          <w:p w14:paraId="623574A8">
            <w:pPr>
              <w:shd w:val="clear"/>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677AAEAD">
            <w:pPr>
              <w:shd w:val="clear"/>
              <w:rPr>
                <w:rFonts w:hint="default" w:ascii="Times New Roman" w:hAnsi="Times New Roman" w:cs="Times New Roman" w:eastAsiaTheme="minorEastAsia"/>
                <w:color w:val="auto"/>
                <w:kern w:val="0"/>
                <w:sz w:val="18"/>
                <w:szCs w:val="18"/>
                <w:highlight w:val="none"/>
              </w:rPr>
            </w:pPr>
          </w:p>
        </w:tc>
      </w:tr>
      <w:tr w14:paraId="6966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3" w:hRule="atLeast"/>
        </w:trPr>
        <w:tc>
          <w:tcPr>
            <w:tcW w:w="117" w:type="pct"/>
            <w:gridSpan w:val="2"/>
            <w:vMerge w:val="restart"/>
            <w:shd w:val="clear" w:color="auto" w:fill="auto"/>
            <w:tcMar>
              <w:top w:w="15" w:type="dxa"/>
              <w:left w:w="15" w:type="dxa"/>
              <w:right w:w="15" w:type="dxa"/>
            </w:tcMar>
            <w:vAlign w:val="center"/>
          </w:tcPr>
          <w:p w14:paraId="792F70C6">
            <w:pPr>
              <w:shd w:val="clear"/>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62</w:t>
            </w:r>
          </w:p>
        </w:tc>
        <w:tc>
          <w:tcPr>
            <w:tcW w:w="411" w:type="pct"/>
            <w:gridSpan w:val="2"/>
            <w:vMerge w:val="restart"/>
            <w:shd w:val="clear" w:color="auto" w:fill="auto"/>
            <w:tcMar>
              <w:top w:w="15" w:type="dxa"/>
              <w:left w:w="15" w:type="dxa"/>
              <w:right w:w="15" w:type="dxa"/>
            </w:tcMar>
            <w:vAlign w:val="center"/>
          </w:tcPr>
          <w:p w14:paraId="5FA59021">
            <w:pPr>
              <w:shd w:val="clear"/>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设置招牌不符合设置规定，逾期未改正的</w:t>
            </w:r>
          </w:p>
        </w:tc>
        <w:tc>
          <w:tcPr>
            <w:tcW w:w="1310" w:type="pct"/>
            <w:gridSpan w:val="2"/>
            <w:vMerge w:val="restart"/>
            <w:shd w:val="clear" w:color="auto" w:fill="auto"/>
            <w:tcMar>
              <w:top w:w="15" w:type="dxa"/>
              <w:left w:w="15" w:type="dxa"/>
              <w:right w:w="15" w:type="dxa"/>
            </w:tcMar>
            <w:vAlign w:val="center"/>
          </w:tcPr>
          <w:p w14:paraId="08973EB1">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东莞市户外广告设施和招牌设置管理条例》第二十五条：“设置招牌的，应当遵守下列规定：（一）机关、团体、院校、事业单位和其他组织的招牌内容限于经批准或者核准的名称、标识或者规范化简称，企业、个体工商户的招牌内容限于市场监督管理部门核准或备案的名称、字号、规范化简称；经营范围、含有推介产品或者经营服务的信息不得作为招牌内容；</w:t>
            </w:r>
          </w:p>
          <w:p w14:paraId="201B8E4B">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二）设置地点限于本单位办公地或者经营地，一店一招、一单位一牌，可以在一层门檐以上、二层窗檐以下设置，但有多个出入口的大型商场、单位、居住小区可以在不同出入口处设置招牌；位于道路转弯处、两侧均开设门面且属于同一经营者的，可以在转角处或者两侧门面分别设置招牌；</w:t>
            </w:r>
          </w:p>
          <w:p w14:paraId="40290388">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三）多个单位共用一个场所或者一个建筑物内有多个单位的，应当由该场所或者建筑物的所有人或者管理人整体规划设计和制作组合式招牌；同一建筑物相邻招牌的高度、形式、造型、规格、色彩等应当和谐统一；</w:t>
            </w:r>
          </w:p>
          <w:p w14:paraId="75D9BCA0">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（四）不得在建筑物屋顶（楼顶）新设招牌；</w:t>
            </w:r>
          </w:p>
          <w:p w14:paraId="059E6692">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（五）不得妨碍交通、消防安全，不得影响建筑物日照、采光、通风以及结构安全；</w:t>
            </w:r>
          </w:p>
          <w:p w14:paraId="09E9079D">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（六）招牌结构荷载、防风、抗震、防腐、电气安全等应当符合户外广告设施和招牌设置技术规范。</w:t>
            </w:r>
          </w:p>
        </w:tc>
        <w:tc>
          <w:tcPr>
            <w:tcW w:w="1314" w:type="pct"/>
            <w:gridSpan w:val="2"/>
            <w:vMerge w:val="restart"/>
            <w:shd w:val="clear" w:color="auto" w:fill="auto"/>
            <w:tcMar>
              <w:top w:w="15" w:type="dxa"/>
              <w:left w:w="15" w:type="dxa"/>
              <w:right w:w="15" w:type="dxa"/>
            </w:tcMar>
            <w:vAlign w:val="center"/>
          </w:tcPr>
          <w:p w14:paraId="3E2D55E8">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《东莞市户外广告设施和招牌设置管理条例》　第四十二条：“违反本条例第二十五条规定，设置招牌不符合设置规定的，由城市管理综合执法部门责令设置人限期改正；逾期未改正的，处以五百元以上五千元以下罚款。”</w:t>
            </w:r>
          </w:p>
        </w:tc>
        <w:tc>
          <w:tcPr>
            <w:tcW w:w="177" w:type="pct"/>
            <w:gridSpan w:val="2"/>
            <w:shd w:val="clear" w:color="auto" w:fill="auto"/>
            <w:tcMar>
              <w:top w:w="15" w:type="dxa"/>
              <w:left w:w="15" w:type="dxa"/>
              <w:right w:w="15" w:type="dxa"/>
            </w:tcMar>
            <w:vAlign w:val="center"/>
          </w:tcPr>
          <w:p w14:paraId="78C16DB5">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eastAsia" w:ascii="Times New Roman" w:hAnsi="Times New Roman" w:cs="Times New Roman"/>
                <w:color w:val="auto"/>
                <w:kern w:val="0"/>
                <w:sz w:val="18"/>
                <w:szCs w:val="18"/>
                <w:highlight w:val="none"/>
                <w:lang w:val="en-US" w:eastAsia="zh-CN"/>
              </w:rPr>
              <w:t>轻微</w:t>
            </w:r>
          </w:p>
        </w:tc>
        <w:tc>
          <w:tcPr>
            <w:tcW w:w="533" w:type="pct"/>
            <w:gridSpan w:val="3"/>
            <w:shd w:val="clear" w:color="auto" w:fill="auto"/>
            <w:tcMar>
              <w:top w:w="15" w:type="dxa"/>
              <w:left w:w="15" w:type="dxa"/>
              <w:right w:w="15" w:type="dxa"/>
            </w:tcMar>
            <w:vAlign w:val="center"/>
          </w:tcPr>
          <w:p w14:paraId="66739952">
            <w:pPr>
              <w:widowControl/>
              <w:shd w:val="clea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招牌设置不符合任1项规定</w:t>
            </w:r>
          </w:p>
        </w:tc>
        <w:tc>
          <w:tcPr>
            <w:tcW w:w="545" w:type="pct"/>
            <w:gridSpan w:val="2"/>
            <w:shd w:val="clear" w:color="auto" w:fill="auto"/>
            <w:tcMar>
              <w:top w:w="15" w:type="dxa"/>
              <w:left w:w="15" w:type="dxa"/>
              <w:right w:w="15" w:type="dxa"/>
            </w:tcMar>
            <w:vAlign w:val="center"/>
          </w:tcPr>
          <w:p w14:paraId="238DA1B7">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sz w:val="18"/>
                <w:szCs w:val="18"/>
                <w:highlight w:val="none"/>
                <w:lang w:val="en-US" w:eastAsia="zh-CN"/>
              </w:rPr>
              <w:t>处以500元以上1850元以下罚款</w:t>
            </w:r>
          </w:p>
        </w:tc>
        <w:tc>
          <w:tcPr>
            <w:tcW w:w="200" w:type="pct"/>
            <w:gridSpan w:val="2"/>
            <w:vMerge w:val="restart"/>
            <w:shd w:val="clear" w:color="auto" w:fill="auto"/>
            <w:tcMar>
              <w:top w:w="15" w:type="dxa"/>
              <w:left w:w="15" w:type="dxa"/>
              <w:right w:w="15" w:type="dxa"/>
            </w:tcMar>
            <w:vAlign w:val="center"/>
          </w:tcPr>
          <w:p w14:paraId="2D464F37">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责令限期改正</w:t>
            </w:r>
          </w:p>
        </w:tc>
        <w:tc>
          <w:tcPr>
            <w:tcW w:w="390" w:type="pct"/>
            <w:gridSpan w:val="3"/>
            <w:vMerge w:val="restart"/>
            <w:shd w:val="clear" w:color="auto" w:fill="auto"/>
            <w:tcMar>
              <w:top w:w="15" w:type="dxa"/>
              <w:left w:w="15" w:type="dxa"/>
              <w:right w:w="15" w:type="dxa"/>
            </w:tcMar>
            <w:vAlign w:val="center"/>
          </w:tcPr>
          <w:p w14:paraId="6B949C5D">
            <w:pPr>
              <w:shd w:val="clear"/>
              <w:rPr>
                <w:rFonts w:hint="default" w:ascii="Times New Roman" w:hAnsi="Times New Roman" w:cs="Times New Roman" w:eastAsiaTheme="minorEastAsia"/>
                <w:color w:val="auto"/>
                <w:sz w:val="18"/>
                <w:szCs w:val="18"/>
                <w:highlight w:val="none"/>
              </w:rPr>
            </w:pPr>
          </w:p>
        </w:tc>
      </w:tr>
      <w:tr w14:paraId="141F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3" w:hRule="atLeast"/>
        </w:trPr>
        <w:tc>
          <w:tcPr>
            <w:tcW w:w="117" w:type="pct"/>
            <w:gridSpan w:val="2"/>
            <w:vMerge w:val="continue"/>
            <w:shd w:val="clear" w:color="auto" w:fill="auto"/>
            <w:tcMar>
              <w:top w:w="15" w:type="dxa"/>
              <w:left w:w="15" w:type="dxa"/>
              <w:right w:w="15" w:type="dxa"/>
            </w:tcMar>
            <w:vAlign w:val="center"/>
          </w:tcPr>
          <w:p w14:paraId="6A0ED66F">
            <w:pPr>
              <w:shd w:val="clear"/>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1587D169">
            <w:pPr>
              <w:shd w:val="clear"/>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46A65371">
            <w:pPr>
              <w:shd w:val="clear"/>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0A313E17">
            <w:pPr>
              <w:shd w:val="clear"/>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70945483">
            <w:pPr>
              <w:shd w:val="clea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tcMar>
              <w:top w:w="15" w:type="dxa"/>
              <w:left w:w="15" w:type="dxa"/>
              <w:right w:w="15" w:type="dxa"/>
            </w:tcMar>
            <w:vAlign w:val="center"/>
          </w:tcPr>
          <w:p w14:paraId="05AE3CE7">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rPr>
              <w:t>招牌设置不符合规定</w:t>
            </w:r>
            <w:r>
              <w:rPr>
                <w:rFonts w:hint="default" w:ascii="Times New Roman" w:hAnsi="Times New Roman" w:cs="Times New Roman" w:eastAsiaTheme="minorEastAsia"/>
                <w:color w:val="auto"/>
                <w:kern w:val="0"/>
                <w:sz w:val="18"/>
                <w:szCs w:val="18"/>
                <w:highlight w:val="none"/>
                <w:lang w:val="en-US" w:eastAsia="zh-CN"/>
              </w:rPr>
              <w:t>2</w:t>
            </w:r>
            <w:r>
              <w:rPr>
                <w:rFonts w:hint="default" w:ascii="Times New Roman" w:hAnsi="Times New Roman" w:cs="Times New Roman" w:eastAsiaTheme="minorEastAsia"/>
                <w:color w:val="auto"/>
                <w:kern w:val="0"/>
                <w:sz w:val="18"/>
                <w:szCs w:val="18"/>
                <w:highlight w:val="none"/>
                <w:lang w:val="en-US"/>
              </w:rPr>
              <w:t>项</w:t>
            </w:r>
            <w:r>
              <w:rPr>
                <w:rFonts w:hint="default" w:ascii="Times New Roman" w:hAnsi="Times New Roman" w:cs="Times New Roman" w:eastAsiaTheme="minorEastAsia"/>
                <w:color w:val="auto"/>
                <w:kern w:val="0"/>
                <w:sz w:val="18"/>
                <w:szCs w:val="18"/>
                <w:highlight w:val="none"/>
                <w:lang w:val="en-US" w:eastAsia="zh-CN"/>
              </w:rPr>
              <w:t>以上4项以下</w:t>
            </w:r>
          </w:p>
        </w:tc>
        <w:tc>
          <w:tcPr>
            <w:tcW w:w="545" w:type="pct"/>
            <w:gridSpan w:val="2"/>
            <w:shd w:val="clear" w:color="auto" w:fill="auto"/>
            <w:tcMar>
              <w:top w:w="15" w:type="dxa"/>
              <w:left w:w="15" w:type="dxa"/>
              <w:right w:w="15" w:type="dxa"/>
            </w:tcMar>
            <w:vAlign w:val="center"/>
          </w:tcPr>
          <w:p w14:paraId="2FE15538">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处以1850元以上3650元以下罚款</w:t>
            </w:r>
          </w:p>
        </w:tc>
        <w:tc>
          <w:tcPr>
            <w:tcW w:w="200" w:type="pct"/>
            <w:gridSpan w:val="2"/>
            <w:vMerge w:val="continue"/>
            <w:shd w:val="clear" w:color="auto" w:fill="auto"/>
            <w:tcMar>
              <w:top w:w="15" w:type="dxa"/>
              <w:left w:w="15" w:type="dxa"/>
              <w:right w:w="15" w:type="dxa"/>
            </w:tcMar>
            <w:vAlign w:val="center"/>
          </w:tcPr>
          <w:p w14:paraId="6EAE1B0E">
            <w:pPr>
              <w:shd w:val="clear"/>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2201A5EC">
            <w:pPr>
              <w:shd w:val="clear"/>
              <w:rPr>
                <w:rFonts w:hint="default" w:ascii="Times New Roman" w:hAnsi="Times New Roman" w:cs="Times New Roman" w:eastAsiaTheme="minorEastAsia"/>
                <w:color w:val="auto"/>
                <w:kern w:val="0"/>
                <w:sz w:val="18"/>
                <w:szCs w:val="18"/>
                <w:highlight w:val="none"/>
              </w:rPr>
            </w:pPr>
          </w:p>
        </w:tc>
      </w:tr>
      <w:tr w14:paraId="1A13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3" w:hRule="atLeast"/>
        </w:trPr>
        <w:tc>
          <w:tcPr>
            <w:tcW w:w="117" w:type="pct"/>
            <w:gridSpan w:val="2"/>
            <w:vMerge w:val="continue"/>
            <w:shd w:val="clear" w:color="auto" w:fill="auto"/>
            <w:tcMar>
              <w:top w:w="15" w:type="dxa"/>
              <w:left w:w="15" w:type="dxa"/>
              <w:right w:w="15" w:type="dxa"/>
            </w:tcMar>
            <w:vAlign w:val="center"/>
          </w:tcPr>
          <w:p w14:paraId="36D4DAD1">
            <w:pPr>
              <w:shd w:val="clear"/>
              <w:rPr>
                <w:rFonts w:hint="default" w:ascii="Times New Roman" w:hAnsi="Times New Roman" w:cs="Times New Roman" w:eastAsiaTheme="minorEastAsia"/>
                <w:color w:val="auto"/>
                <w:kern w:val="0"/>
                <w:sz w:val="18"/>
                <w:szCs w:val="18"/>
                <w:highlight w:val="none"/>
              </w:rPr>
            </w:pPr>
          </w:p>
        </w:tc>
        <w:tc>
          <w:tcPr>
            <w:tcW w:w="411" w:type="pct"/>
            <w:gridSpan w:val="2"/>
            <w:vMerge w:val="continue"/>
            <w:shd w:val="clear" w:color="auto" w:fill="auto"/>
            <w:tcMar>
              <w:top w:w="15" w:type="dxa"/>
              <w:left w:w="15" w:type="dxa"/>
              <w:right w:w="15" w:type="dxa"/>
            </w:tcMar>
            <w:vAlign w:val="center"/>
          </w:tcPr>
          <w:p w14:paraId="03B7CBDC">
            <w:pPr>
              <w:shd w:val="clear"/>
              <w:rPr>
                <w:rFonts w:hint="default" w:ascii="Times New Roman" w:hAnsi="Times New Roman" w:cs="Times New Roman" w:eastAsiaTheme="minorEastAsia"/>
                <w:color w:val="auto"/>
                <w:kern w:val="0"/>
                <w:sz w:val="18"/>
                <w:szCs w:val="18"/>
                <w:highlight w:val="none"/>
              </w:rPr>
            </w:pPr>
          </w:p>
        </w:tc>
        <w:tc>
          <w:tcPr>
            <w:tcW w:w="1310" w:type="pct"/>
            <w:gridSpan w:val="2"/>
            <w:vMerge w:val="continue"/>
            <w:shd w:val="clear" w:color="auto" w:fill="auto"/>
            <w:tcMar>
              <w:top w:w="15" w:type="dxa"/>
              <w:left w:w="15" w:type="dxa"/>
              <w:right w:w="15" w:type="dxa"/>
            </w:tcMar>
            <w:vAlign w:val="center"/>
          </w:tcPr>
          <w:p w14:paraId="3D8A46DC">
            <w:pPr>
              <w:shd w:val="clear"/>
              <w:rPr>
                <w:rFonts w:hint="default" w:ascii="Times New Roman" w:hAnsi="Times New Roman" w:cs="Times New Roman" w:eastAsiaTheme="minorEastAsia"/>
                <w:color w:val="auto"/>
                <w:kern w:val="0"/>
                <w:sz w:val="18"/>
                <w:szCs w:val="18"/>
                <w:highlight w:val="none"/>
              </w:rPr>
            </w:pPr>
          </w:p>
        </w:tc>
        <w:tc>
          <w:tcPr>
            <w:tcW w:w="1314" w:type="pct"/>
            <w:gridSpan w:val="2"/>
            <w:vMerge w:val="continue"/>
            <w:shd w:val="clear" w:color="auto" w:fill="auto"/>
            <w:tcMar>
              <w:top w:w="15" w:type="dxa"/>
              <w:left w:w="15" w:type="dxa"/>
              <w:right w:w="15" w:type="dxa"/>
            </w:tcMar>
            <w:vAlign w:val="center"/>
          </w:tcPr>
          <w:p w14:paraId="4D1B3811">
            <w:pPr>
              <w:shd w:val="clear"/>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1BE77721">
            <w:pPr>
              <w:shd w:val="clea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78E73557">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rPr>
              <w:t>招牌设置不符合规定</w:t>
            </w:r>
            <w:r>
              <w:rPr>
                <w:rFonts w:hint="default" w:ascii="Times New Roman" w:hAnsi="Times New Roman" w:cs="Times New Roman" w:eastAsiaTheme="minorEastAsia"/>
                <w:color w:val="auto"/>
                <w:kern w:val="0"/>
                <w:sz w:val="18"/>
                <w:szCs w:val="18"/>
                <w:highlight w:val="none"/>
                <w:lang w:val="en-US" w:eastAsia="zh-CN"/>
              </w:rPr>
              <w:t>4项以上</w:t>
            </w:r>
          </w:p>
        </w:tc>
        <w:tc>
          <w:tcPr>
            <w:tcW w:w="545" w:type="pct"/>
            <w:gridSpan w:val="2"/>
            <w:shd w:val="clear" w:color="auto" w:fill="auto"/>
            <w:tcMar>
              <w:top w:w="15" w:type="dxa"/>
              <w:left w:w="15" w:type="dxa"/>
              <w:right w:w="15" w:type="dxa"/>
            </w:tcMar>
            <w:vAlign w:val="center"/>
          </w:tcPr>
          <w:p w14:paraId="4F4B1803">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处以3650元以上5000元以下罚款</w:t>
            </w:r>
          </w:p>
        </w:tc>
        <w:tc>
          <w:tcPr>
            <w:tcW w:w="200" w:type="pct"/>
            <w:gridSpan w:val="2"/>
            <w:vMerge w:val="continue"/>
            <w:shd w:val="clear" w:color="auto" w:fill="auto"/>
            <w:tcMar>
              <w:top w:w="15" w:type="dxa"/>
              <w:left w:w="15" w:type="dxa"/>
              <w:right w:w="15" w:type="dxa"/>
            </w:tcMar>
            <w:vAlign w:val="center"/>
          </w:tcPr>
          <w:p w14:paraId="743E1335">
            <w:pPr>
              <w:shd w:val="clear"/>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12B762AD">
            <w:pPr>
              <w:shd w:val="clear"/>
              <w:rPr>
                <w:rFonts w:hint="default" w:ascii="Times New Roman" w:hAnsi="Times New Roman" w:cs="Times New Roman" w:eastAsiaTheme="minorEastAsia"/>
                <w:color w:val="auto"/>
                <w:kern w:val="0"/>
                <w:sz w:val="18"/>
                <w:szCs w:val="18"/>
                <w:highlight w:val="none"/>
              </w:rPr>
            </w:pPr>
          </w:p>
        </w:tc>
      </w:tr>
      <w:tr w14:paraId="5BAF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trPr>
        <w:tc>
          <w:tcPr>
            <w:tcW w:w="117" w:type="pct"/>
            <w:gridSpan w:val="2"/>
            <w:vMerge w:val="restart"/>
            <w:shd w:val="clear" w:color="auto" w:fill="auto"/>
            <w:tcMar>
              <w:top w:w="15" w:type="dxa"/>
              <w:left w:w="15" w:type="dxa"/>
              <w:right w:w="15" w:type="dxa"/>
            </w:tcMar>
            <w:vAlign w:val="center"/>
          </w:tcPr>
          <w:p w14:paraId="361CD350">
            <w:pPr>
              <w:shd w:val="clear"/>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63</w:t>
            </w:r>
          </w:p>
        </w:tc>
        <w:tc>
          <w:tcPr>
            <w:tcW w:w="411" w:type="pct"/>
            <w:gridSpan w:val="2"/>
            <w:vMerge w:val="restart"/>
            <w:shd w:val="clear" w:color="auto" w:fill="auto"/>
            <w:tcMar>
              <w:top w:w="15" w:type="dxa"/>
              <w:left w:w="15" w:type="dxa"/>
              <w:right w:w="15" w:type="dxa"/>
            </w:tcMar>
            <w:vAlign w:val="center"/>
          </w:tcPr>
          <w:p w14:paraId="46B3F132">
            <w:pPr>
              <w:shd w:val="clear"/>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未立即拆除存在严重安全隐患的户外广告设施或者招牌</w:t>
            </w:r>
            <w:r>
              <w:rPr>
                <w:rFonts w:hint="default" w:ascii="Times New Roman" w:hAnsi="Times New Roman" w:cs="Times New Roman" w:eastAsiaTheme="minorEastAsia"/>
                <w:color w:val="auto"/>
                <w:sz w:val="18"/>
                <w:szCs w:val="18"/>
                <w:highlight w:val="none"/>
                <w:lang w:eastAsia="zh-CN"/>
              </w:rPr>
              <w:t>，</w:t>
            </w:r>
            <w:r>
              <w:rPr>
                <w:rFonts w:hint="default" w:ascii="Times New Roman" w:hAnsi="Times New Roman" w:cs="Times New Roman" w:eastAsiaTheme="minorEastAsia"/>
                <w:color w:val="auto"/>
                <w:sz w:val="18"/>
                <w:szCs w:val="18"/>
                <w:highlight w:val="none"/>
              </w:rPr>
              <w:t>经催告仍不拆除，其后果已经或者将危害交通安全需要拆除的</w:t>
            </w:r>
          </w:p>
        </w:tc>
        <w:tc>
          <w:tcPr>
            <w:tcW w:w="1310" w:type="pct"/>
            <w:gridSpan w:val="2"/>
            <w:vMerge w:val="restart"/>
            <w:shd w:val="clear" w:color="auto" w:fill="auto"/>
            <w:tcMar>
              <w:top w:w="15" w:type="dxa"/>
              <w:left w:w="15" w:type="dxa"/>
              <w:right w:w="15" w:type="dxa"/>
            </w:tcMar>
            <w:vAlign w:val="center"/>
          </w:tcPr>
          <w:p w14:paraId="1E77B43A">
            <w:pPr>
              <w:shd w:val="clear"/>
              <w:jc w:val="left"/>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sz w:val="18"/>
                <w:szCs w:val="18"/>
                <w:highlight w:val="none"/>
              </w:rPr>
              <w:t>《东莞市户外广告设施和招牌设置管理条例》第三十条</w:t>
            </w:r>
            <w:r>
              <w:rPr>
                <w:rFonts w:hint="default" w:ascii="Times New Roman" w:hAnsi="Times New Roman" w:cs="Times New Roman" w:eastAsiaTheme="minorEastAsia"/>
                <w:color w:val="auto"/>
                <w:sz w:val="18"/>
                <w:szCs w:val="18"/>
                <w:highlight w:val="none"/>
                <w:lang w:eastAsia="zh-CN"/>
              </w:rPr>
              <w:t>第一款：“</w:t>
            </w:r>
            <w:r>
              <w:rPr>
                <w:rFonts w:hint="default" w:ascii="Times New Roman" w:hAnsi="Times New Roman" w:cs="Times New Roman" w:eastAsiaTheme="minorEastAsia"/>
                <w:color w:val="auto"/>
                <w:sz w:val="18"/>
                <w:szCs w:val="18"/>
                <w:highlight w:val="none"/>
              </w:rPr>
              <w:t>设置人是户外广告设施和招牌维护、管理的责任主体，应当定期对户外广告设施和招牌进行安全检查。发现存在安全隐患的，应当立即采取措施予以维修；发现存在严重安全隐患的，应当立即拆除，及时消除安全隐患。城市管理综合执法部门发现户外广告设施和招牌存在安全隐患的，应当责令设置人限期整修或者拆除。</w:t>
            </w:r>
            <w:r>
              <w:rPr>
                <w:rFonts w:hint="default" w:ascii="Times New Roman" w:hAnsi="Times New Roman" w:cs="Times New Roman" w:eastAsiaTheme="minorEastAsia"/>
                <w:color w:val="auto"/>
                <w:sz w:val="18"/>
                <w:szCs w:val="18"/>
                <w:highlight w:val="none"/>
                <w:lang w:eastAsia="zh-CN"/>
              </w:rPr>
              <w:t>”</w:t>
            </w:r>
          </w:p>
        </w:tc>
        <w:tc>
          <w:tcPr>
            <w:tcW w:w="1314" w:type="pct"/>
            <w:gridSpan w:val="2"/>
            <w:vMerge w:val="restart"/>
            <w:shd w:val="clear" w:color="auto" w:fill="auto"/>
            <w:tcMar>
              <w:top w:w="15" w:type="dxa"/>
              <w:left w:w="15" w:type="dxa"/>
              <w:right w:w="15" w:type="dxa"/>
            </w:tcMar>
            <w:vAlign w:val="center"/>
          </w:tcPr>
          <w:p w14:paraId="10679A19">
            <w:pPr>
              <w:shd w:val="clear"/>
              <w:jc w:val="left"/>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sz w:val="18"/>
                <w:szCs w:val="18"/>
                <w:highlight w:val="none"/>
              </w:rPr>
              <w:t>《东莞市户外广告设施和招牌设置管理条例》第四十三条</w:t>
            </w:r>
            <w:r>
              <w:rPr>
                <w:rFonts w:hint="default" w:ascii="Times New Roman" w:hAnsi="Times New Roman" w:cs="Times New Roman" w:eastAsiaTheme="minorEastAsia"/>
                <w:color w:val="auto"/>
                <w:sz w:val="18"/>
                <w:szCs w:val="18"/>
                <w:highlight w:val="none"/>
                <w:lang w:eastAsia="zh-CN"/>
              </w:rPr>
              <w:t>第一款：“</w:t>
            </w:r>
            <w:r>
              <w:rPr>
                <w:rFonts w:hint="default" w:ascii="Times New Roman" w:hAnsi="Times New Roman" w:cs="Times New Roman" w:eastAsiaTheme="minorEastAsia"/>
                <w:color w:val="auto"/>
                <w:sz w:val="18"/>
                <w:szCs w:val="18"/>
                <w:highlight w:val="none"/>
              </w:rPr>
              <w:t>设置人违反本条例第三十条第一款规定，未立即拆除存在严重安全隐患的户外广告设施或者招牌的，城市管理综合执法部门应当责令拆除；设置人逾期不拆除，经催告仍不拆除，其后果已经或者将危害交通安全需要拆除的，城市管理综合执法部门可以依照《中华人民共和国行政强制法》第五十条规定代为拆除，或者委托无利害关系的第三人代为拆除，并处以五百元以上三万元以下罚款。</w:t>
            </w:r>
            <w:r>
              <w:rPr>
                <w:rFonts w:hint="default" w:ascii="Times New Roman" w:hAnsi="Times New Roman" w:cs="Times New Roman" w:eastAsiaTheme="minorEastAsia"/>
                <w:color w:val="auto"/>
                <w:sz w:val="18"/>
                <w:szCs w:val="18"/>
                <w:highlight w:val="none"/>
                <w:lang w:eastAsia="zh-CN"/>
              </w:rPr>
              <w:t>”</w:t>
            </w:r>
          </w:p>
        </w:tc>
        <w:tc>
          <w:tcPr>
            <w:tcW w:w="177" w:type="pct"/>
            <w:gridSpan w:val="2"/>
            <w:shd w:val="clear" w:color="auto" w:fill="auto"/>
            <w:tcMar>
              <w:top w:w="15" w:type="dxa"/>
              <w:left w:w="15" w:type="dxa"/>
              <w:right w:w="15" w:type="dxa"/>
            </w:tcMar>
            <w:vAlign w:val="center"/>
          </w:tcPr>
          <w:p w14:paraId="71628987">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3E994139">
            <w:pPr>
              <w:widowControl/>
              <w:shd w:val="clea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户外广告设施或招牌面积</w:t>
            </w:r>
            <w:r>
              <w:rPr>
                <w:rFonts w:hint="default" w:ascii="Times New Roman" w:hAnsi="Times New Roman" w:cs="Times New Roman" w:eastAsiaTheme="minorEastAsia"/>
                <w:color w:val="auto"/>
                <w:kern w:val="0"/>
                <w:sz w:val="18"/>
                <w:szCs w:val="18"/>
                <w:highlight w:val="none"/>
                <w:lang w:val="en-US" w:eastAsia="zh-CN"/>
              </w:rPr>
              <w:t>5平方米以下</w:t>
            </w:r>
          </w:p>
        </w:tc>
        <w:tc>
          <w:tcPr>
            <w:tcW w:w="545" w:type="pct"/>
            <w:gridSpan w:val="2"/>
            <w:shd w:val="clear" w:color="auto" w:fill="auto"/>
            <w:tcMar>
              <w:top w:w="15" w:type="dxa"/>
              <w:left w:w="15" w:type="dxa"/>
              <w:right w:w="15" w:type="dxa"/>
            </w:tcMar>
            <w:vAlign w:val="center"/>
          </w:tcPr>
          <w:p w14:paraId="4F682E16">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处以</w:t>
            </w:r>
            <w:r>
              <w:rPr>
                <w:rFonts w:hint="default" w:ascii="Times New Roman" w:hAnsi="Times New Roman" w:cs="Times New Roman" w:eastAsiaTheme="minorEastAsia"/>
                <w:color w:val="auto"/>
                <w:kern w:val="0"/>
                <w:sz w:val="18"/>
                <w:szCs w:val="18"/>
                <w:highlight w:val="none"/>
                <w:lang w:val="en-US" w:eastAsia="zh-CN"/>
              </w:rPr>
              <w:t>500元以上9350元以下罚款</w:t>
            </w:r>
          </w:p>
        </w:tc>
        <w:tc>
          <w:tcPr>
            <w:tcW w:w="200" w:type="pct"/>
            <w:gridSpan w:val="2"/>
            <w:vMerge w:val="restart"/>
            <w:shd w:val="clear" w:color="auto" w:fill="auto"/>
            <w:tcMar>
              <w:top w:w="15" w:type="dxa"/>
              <w:left w:w="15" w:type="dxa"/>
              <w:right w:w="15" w:type="dxa"/>
            </w:tcMar>
            <w:vAlign w:val="center"/>
          </w:tcPr>
          <w:p w14:paraId="2A803A2F">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责令拆除</w:t>
            </w:r>
            <w:r>
              <w:rPr>
                <w:rFonts w:hint="default" w:ascii="Times New Roman" w:hAnsi="Times New Roman" w:cs="Times New Roman" w:eastAsiaTheme="minorEastAsia"/>
                <w:color w:val="auto"/>
                <w:sz w:val="18"/>
                <w:szCs w:val="18"/>
                <w:highlight w:val="none"/>
              </w:rPr>
              <w:t>，</w:t>
            </w:r>
            <w:r>
              <w:rPr>
                <w:rFonts w:hint="default" w:ascii="Times New Roman" w:hAnsi="Times New Roman" w:cs="Times New Roman" w:eastAsiaTheme="minorEastAsia"/>
                <w:color w:val="auto"/>
                <w:sz w:val="18"/>
                <w:szCs w:val="18"/>
                <w:highlight w:val="none"/>
                <w:lang w:eastAsia="zh-CN"/>
              </w:rPr>
              <w:t>可以</w:t>
            </w:r>
            <w:r>
              <w:rPr>
                <w:rFonts w:hint="default" w:ascii="Times New Roman" w:hAnsi="Times New Roman" w:cs="Times New Roman" w:eastAsiaTheme="minorEastAsia"/>
                <w:color w:val="auto"/>
                <w:sz w:val="18"/>
                <w:szCs w:val="18"/>
                <w:highlight w:val="none"/>
              </w:rPr>
              <w:t>依照《中华人民共和国行政强制法》第五十条规定代为拆除，或者委托无利害关系的第三人代为拆除</w:t>
            </w:r>
          </w:p>
        </w:tc>
        <w:tc>
          <w:tcPr>
            <w:tcW w:w="390" w:type="pct"/>
            <w:gridSpan w:val="3"/>
            <w:vMerge w:val="restart"/>
            <w:shd w:val="clear" w:color="auto" w:fill="auto"/>
            <w:tcMar>
              <w:top w:w="15" w:type="dxa"/>
              <w:left w:w="15" w:type="dxa"/>
              <w:right w:w="15" w:type="dxa"/>
            </w:tcMar>
            <w:vAlign w:val="center"/>
          </w:tcPr>
          <w:p w14:paraId="06569AD8">
            <w:pPr>
              <w:shd w:val="clear"/>
              <w:rPr>
                <w:rFonts w:hint="default" w:ascii="Times New Roman" w:hAnsi="Times New Roman" w:cs="Times New Roman" w:eastAsiaTheme="minorEastAsia"/>
                <w:color w:val="auto"/>
                <w:sz w:val="18"/>
                <w:szCs w:val="18"/>
                <w:highlight w:val="none"/>
                <w:lang w:eastAsia="zh-CN"/>
              </w:rPr>
            </w:pPr>
          </w:p>
        </w:tc>
      </w:tr>
      <w:tr w14:paraId="0A91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trPr>
        <w:tc>
          <w:tcPr>
            <w:tcW w:w="117" w:type="pct"/>
            <w:gridSpan w:val="2"/>
            <w:vMerge w:val="continue"/>
            <w:shd w:val="clear" w:color="auto" w:fill="auto"/>
            <w:tcMar>
              <w:top w:w="15" w:type="dxa"/>
              <w:left w:w="15" w:type="dxa"/>
              <w:right w:w="15" w:type="dxa"/>
            </w:tcMar>
            <w:vAlign w:val="center"/>
          </w:tcPr>
          <w:p w14:paraId="42813642">
            <w:pPr>
              <w:widowControl/>
              <w:shd w:val="clear"/>
              <w:jc w:val="left"/>
              <w:textAlignment w:val="center"/>
              <w:rPr>
                <w:rFonts w:hint="default" w:ascii="Times New Roman" w:hAnsi="Times New Roman" w:cs="Times New Roman"/>
                <w:highlight w:val="none"/>
              </w:rPr>
            </w:pPr>
          </w:p>
        </w:tc>
        <w:tc>
          <w:tcPr>
            <w:tcW w:w="411" w:type="pct"/>
            <w:gridSpan w:val="2"/>
            <w:vMerge w:val="continue"/>
            <w:shd w:val="clear" w:color="auto" w:fill="auto"/>
            <w:tcMar>
              <w:top w:w="15" w:type="dxa"/>
              <w:left w:w="15" w:type="dxa"/>
              <w:right w:w="15" w:type="dxa"/>
            </w:tcMar>
            <w:vAlign w:val="center"/>
          </w:tcPr>
          <w:p w14:paraId="4B19B3C0">
            <w:pPr>
              <w:widowControl/>
              <w:shd w:val="clear"/>
              <w:jc w:val="left"/>
              <w:textAlignment w:val="center"/>
              <w:rPr>
                <w:rFonts w:hint="default" w:ascii="Times New Roman" w:hAnsi="Times New Roman" w:cs="Times New Roman"/>
                <w:highlight w:val="none"/>
              </w:rPr>
            </w:pPr>
          </w:p>
        </w:tc>
        <w:tc>
          <w:tcPr>
            <w:tcW w:w="1310" w:type="pct"/>
            <w:gridSpan w:val="2"/>
            <w:vMerge w:val="continue"/>
            <w:shd w:val="clear" w:color="auto" w:fill="auto"/>
            <w:tcMar>
              <w:top w:w="15" w:type="dxa"/>
              <w:left w:w="15" w:type="dxa"/>
              <w:right w:w="15" w:type="dxa"/>
            </w:tcMar>
            <w:vAlign w:val="center"/>
          </w:tcPr>
          <w:p w14:paraId="0A177B60">
            <w:pPr>
              <w:widowControl/>
              <w:shd w:val="clear"/>
              <w:jc w:val="left"/>
              <w:textAlignment w:val="center"/>
              <w:rPr>
                <w:rFonts w:hint="default" w:ascii="Times New Roman" w:hAnsi="Times New Roman" w:cs="Times New Roman"/>
                <w:highlight w:val="none"/>
              </w:rPr>
            </w:pPr>
          </w:p>
        </w:tc>
        <w:tc>
          <w:tcPr>
            <w:tcW w:w="1314" w:type="pct"/>
            <w:gridSpan w:val="2"/>
            <w:vMerge w:val="continue"/>
            <w:shd w:val="clear" w:color="auto" w:fill="auto"/>
            <w:tcMar>
              <w:top w:w="15" w:type="dxa"/>
              <w:left w:w="15" w:type="dxa"/>
              <w:right w:w="15" w:type="dxa"/>
            </w:tcMar>
            <w:vAlign w:val="center"/>
          </w:tcPr>
          <w:p w14:paraId="6E60F228">
            <w:pPr>
              <w:widowControl/>
              <w:shd w:val="clear"/>
              <w:jc w:val="left"/>
              <w:textAlignment w:val="center"/>
              <w:rPr>
                <w:rFonts w:hint="default" w:ascii="Times New Roman" w:hAnsi="Times New Roman" w:cs="Times New Roman"/>
                <w:highlight w:val="none"/>
              </w:rPr>
            </w:pPr>
          </w:p>
        </w:tc>
        <w:tc>
          <w:tcPr>
            <w:tcW w:w="177" w:type="pct"/>
            <w:gridSpan w:val="2"/>
            <w:shd w:val="clear" w:color="auto" w:fill="auto"/>
            <w:tcMar>
              <w:top w:w="15" w:type="dxa"/>
              <w:left w:w="15" w:type="dxa"/>
              <w:right w:w="15" w:type="dxa"/>
            </w:tcMar>
            <w:vAlign w:val="center"/>
          </w:tcPr>
          <w:p w14:paraId="2BD95132">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tcMar>
              <w:top w:w="15" w:type="dxa"/>
              <w:left w:w="15" w:type="dxa"/>
              <w:right w:w="15" w:type="dxa"/>
            </w:tcMar>
            <w:vAlign w:val="center"/>
          </w:tcPr>
          <w:p w14:paraId="3D2615F9">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val="en-US" w:eastAsia="zh-CN"/>
              </w:rPr>
              <w:t>户外广告设施或招牌面积5平方米以上10平方米以下</w:t>
            </w:r>
          </w:p>
        </w:tc>
        <w:tc>
          <w:tcPr>
            <w:tcW w:w="545" w:type="pct"/>
            <w:gridSpan w:val="2"/>
            <w:shd w:val="clear" w:color="auto" w:fill="auto"/>
            <w:tcMar>
              <w:top w:w="15" w:type="dxa"/>
              <w:left w:w="15" w:type="dxa"/>
              <w:right w:w="15" w:type="dxa"/>
            </w:tcMar>
            <w:vAlign w:val="center"/>
          </w:tcPr>
          <w:p w14:paraId="60480281">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处以</w:t>
            </w:r>
            <w:r>
              <w:rPr>
                <w:rFonts w:hint="default" w:ascii="Times New Roman" w:hAnsi="Times New Roman" w:cs="Times New Roman" w:eastAsiaTheme="minorEastAsia"/>
                <w:color w:val="auto"/>
                <w:kern w:val="0"/>
                <w:sz w:val="18"/>
                <w:szCs w:val="18"/>
                <w:highlight w:val="none"/>
                <w:lang w:val="en-US" w:eastAsia="zh-CN"/>
              </w:rPr>
              <w:t>9350元以上21150元以下罚款</w:t>
            </w:r>
          </w:p>
        </w:tc>
        <w:tc>
          <w:tcPr>
            <w:tcW w:w="200" w:type="pct"/>
            <w:gridSpan w:val="2"/>
            <w:vMerge w:val="continue"/>
            <w:shd w:val="clear" w:color="auto" w:fill="auto"/>
            <w:tcMar>
              <w:top w:w="15" w:type="dxa"/>
              <w:left w:w="15" w:type="dxa"/>
              <w:right w:w="15" w:type="dxa"/>
            </w:tcMar>
            <w:vAlign w:val="center"/>
          </w:tcPr>
          <w:p w14:paraId="63EC7B84">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390" w:type="pct"/>
            <w:gridSpan w:val="3"/>
            <w:vMerge w:val="continue"/>
            <w:shd w:val="clear" w:color="auto" w:fill="auto"/>
            <w:tcMar>
              <w:top w:w="15" w:type="dxa"/>
              <w:left w:w="15" w:type="dxa"/>
              <w:right w:w="15" w:type="dxa"/>
            </w:tcMar>
            <w:vAlign w:val="center"/>
          </w:tcPr>
          <w:p w14:paraId="280BF005">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r>
      <w:tr w14:paraId="306B7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trPr>
        <w:tc>
          <w:tcPr>
            <w:tcW w:w="117" w:type="pct"/>
            <w:gridSpan w:val="2"/>
            <w:vMerge w:val="continue"/>
            <w:shd w:val="clear" w:color="auto" w:fill="auto"/>
            <w:tcMar>
              <w:top w:w="15" w:type="dxa"/>
              <w:left w:w="15" w:type="dxa"/>
              <w:right w:w="15" w:type="dxa"/>
            </w:tcMar>
            <w:vAlign w:val="center"/>
          </w:tcPr>
          <w:p w14:paraId="18EB95F3">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411" w:type="pct"/>
            <w:gridSpan w:val="2"/>
            <w:vMerge w:val="continue"/>
            <w:shd w:val="clear" w:color="auto" w:fill="auto"/>
            <w:tcMar>
              <w:top w:w="15" w:type="dxa"/>
              <w:left w:w="15" w:type="dxa"/>
              <w:right w:w="15" w:type="dxa"/>
            </w:tcMar>
            <w:vAlign w:val="center"/>
          </w:tcPr>
          <w:p w14:paraId="584E4EB7">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1310" w:type="pct"/>
            <w:gridSpan w:val="2"/>
            <w:vMerge w:val="continue"/>
            <w:shd w:val="clear" w:color="auto" w:fill="auto"/>
            <w:tcMar>
              <w:top w:w="15" w:type="dxa"/>
              <w:left w:w="15" w:type="dxa"/>
              <w:right w:w="15" w:type="dxa"/>
            </w:tcMar>
            <w:vAlign w:val="center"/>
          </w:tcPr>
          <w:p w14:paraId="298DE975">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1314" w:type="pct"/>
            <w:gridSpan w:val="2"/>
            <w:vMerge w:val="continue"/>
            <w:shd w:val="clear" w:color="auto" w:fill="auto"/>
            <w:tcMar>
              <w:top w:w="15" w:type="dxa"/>
              <w:left w:w="15" w:type="dxa"/>
              <w:right w:w="15" w:type="dxa"/>
            </w:tcMar>
            <w:vAlign w:val="center"/>
          </w:tcPr>
          <w:p w14:paraId="17E018E0">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177" w:type="pct"/>
            <w:gridSpan w:val="2"/>
            <w:shd w:val="clear" w:color="auto" w:fill="auto"/>
            <w:tcMar>
              <w:top w:w="15" w:type="dxa"/>
              <w:left w:w="15" w:type="dxa"/>
              <w:right w:w="15" w:type="dxa"/>
            </w:tcMar>
            <w:vAlign w:val="center"/>
          </w:tcPr>
          <w:p w14:paraId="189B505B">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35FDC2E7">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户外广告设施</w:t>
            </w:r>
            <w:r>
              <w:rPr>
                <w:rFonts w:hint="default" w:ascii="Times New Roman" w:hAnsi="Times New Roman" w:cs="Times New Roman" w:eastAsiaTheme="minorEastAsia"/>
                <w:color w:val="auto"/>
                <w:kern w:val="0"/>
                <w:sz w:val="18"/>
                <w:szCs w:val="18"/>
                <w:highlight w:val="none"/>
                <w:lang w:val="en-US" w:eastAsia="zh-CN"/>
              </w:rPr>
              <w:t>或</w:t>
            </w:r>
            <w:r>
              <w:rPr>
                <w:rFonts w:hint="default" w:ascii="Times New Roman" w:hAnsi="Times New Roman" w:cs="Times New Roman" w:eastAsiaTheme="minorEastAsia"/>
                <w:color w:val="auto"/>
                <w:kern w:val="0"/>
                <w:sz w:val="18"/>
                <w:szCs w:val="18"/>
                <w:highlight w:val="none"/>
              </w:rPr>
              <w:t>招牌</w:t>
            </w:r>
            <w:r>
              <w:rPr>
                <w:rFonts w:hint="default" w:ascii="Times New Roman" w:hAnsi="Times New Roman" w:cs="Times New Roman" w:eastAsiaTheme="minorEastAsia"/>
                <w:color w:val="auto"/>
                <w:kern w:val="0"/>
                <w:sz w:val="18"/>
                <w:szCs w:val="18"/>
                <w:highlight w:val="none"/>
                <w:lang w:val="en-US" w:eastAsia="zh-CN"/>
              </w:rPr>
              <w:t>面积10平方米以上</w:t>
            </w:r>
          </w:p>
        </w:tc>
        <w:tc>
          <w:tcPr>
            <w:tcW w:w="545" w:type="pct"/>
            <w:gridSpan w:val="2"/>
            <w:shd w:val="clear" w:color="auto" w:fill="auto"/>
            <w:tcMar>
              <w:top w:w="15" w:type="dxa"/>
              <w:left w:w="15" w:type="dxa"/>
              <w:right w:w="15" w:type="dxa"/>
            </w:tcMar>
            <w:vAlign w:val="center"/>
          </w:tcPr>
          <w:p w14:paraId="71F0A559">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处以</w:t>
            </w:r>
            <w:r>
              <w:rPr>
                <w:rFonts w:hint="default" w:ascii="Times New Roman" w:hAnsi="Times New Roman" w:cs="Times New Roman" w:eastAsiaTheme="minorEastAsia"/>
                <w:color w:val="auto"/>
                <w:kern w:val="0"/>
                <w:sz w:val="18"/>
                <w:szCs w:val="18"/>
                <w:highlight w:val="none"/>
                <w:lang w:val="en-US" w:eastAsia="zh-CN"/>
              </w:rPr>
              <w:t>21150元以上3万元以下罚款</w:t>
            </w:r>
          </w:p>
        </w:tc>
        <w:tc>
          <w:tcPr>
            <w:tcW w:w="200" w:type="pct"/>
            <w:gridSpan w:val="2"/>
            <w:vMerge w:val="continue"/>
            <w:shd w:val="clear" w:color="auto" w:fill="auto"/>
            <w:tcMar>
              <w:top w:w="15" w:type="dxa"/>
              <w:left w:w="15" w:type="dxa"/>
              <w:right w:w="15" w:type="dxa"/>
            </w:tcMar>
            <w:vAlign w:val="center"/>
          </w:tcPr>
          <w:p w14:paraId="564EA553">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390" w:type="pct"/>
            <w:gridSpan w:val="3"/>
            <w:vMerge w:val="continue"/>
            <w:shd w:val="clear" w:color="auto" w:fill="auto"/>
            <w:tcMar>
              <w:top w:w="15" w:type="dxa"/>
              <w:left w:w="15" w:type="dxa"/>
              <w:right w:w="15" w:type="dxa"/>
            </w:tcMar>
            <w:vAlign w:val="center"/>
          </w:tcPr>
          <w:p w14:paraId="3395071B">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r>
      <w:tr w14:paraId="41F7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trPr>
        <w:tc>
          <w:tcPr>
            <w:tcW w:w="117" w:type="pct"/>
            <w:gridSpan w:val="2"/>
            <w:vMerge w:val="restart"/>
            <w:shd w:val="clear" w:color="auto" w:fill="auto"/>
            <w:tcMar>
              <w:top w:w="15" w:type="dxa"/>
              <w:left w:w="15" w:type="dxa"/>
              <w:right w:w="15" w:type="dxa"/>
            </w:tcMar>
            <w:vAlign w:val="center"/>
          </w:tcPr>
          <w:p w14:paraId="53F49BC1">
            <w:pPr>
              <w:shd w:val="clear"/>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64</w:t>
            </w:r>
          </w:p>
        </w:tc>
        <w:tc>
          <w:tcPr>
            <w:tcW w:w="411" w:type="pct"/>
            <w:gridSpan w:val="2"/>
            <w:vMerge w:val="restart"/>
            <w:shd w:val="clear" w:color="auto" w:fill="auto"/>
            <w:tcMar>
              <w:top w:w="15" w:type="dxa"/>
              <w:left w:w="15" w:type="dxa"/>
              <w:right w:w="15" w:type="dxa"/>
            </w:tcMar>
            <w:vAlign w:val="center"/>
          </w:tcPr>
          <w:p w14:paraId="18B32B8F">
            <w:pPr>
              <w:shd w:val="clear"/>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设置人未按照要求进行安全检测，逾期未改正的</w:t>
            </w:r>
          </w:p>
        </w:tc>
        <w:tc>
          <w:tcPr>
            <w:tcW w:w="1310" w:type="pct"/>
            <w:gridSpan w:val="2"/>
            <w:vMerge w:val="restart"/>
            <w:shd w:val="clear" w:color="auto" w:fill="auto"/>
            <w:tcMar>
              <w:top w:w="15" w:type="dxa"/>
              <w:left w:w="15" w:type="dxa"/>
              <w:right w:w="15" w:type="dxa"/>
            </w:tcMar>
            <w:vAlign w:val="center"/>
          </w:tcPr>
          <w:p w14:paraId="0893E174">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《东莞市户外广告设施和招牌设置管理条例》　第三十一条第一款：“大型户外广告设施自设置之日起一年内，设置人应当每年按照相关规定进行安全检测；首次安全检测后，检测报告中载明安全使用期限超出一年的，可按其载明期限确定下次检测时间。设置人应当在完成安全检测之日起七日内向审批部门提交安全检测报告，安全检测不合格，设置人应当立即整修或者拆除。其他户外广告设施和招牌，由设置人自行进行安全检查，并对检查结果负责。”</w:t>
            </w:r>
          </w:p>
        </w:tc>
        <w:tc>
          <w:tcPr>
            <w:tcW w:w="1314" w:type="pct"/>
            <w:gridSpan w:val="2"/>
            <w:vMerge w:val="restart"/>
            <w:shd w:val="clear" w:color="auto" w:fill="auto"/>
            <w:tcMar>
              <w:top w:w="15" w:type="dxa"/>
              <w:left w:w="15" w:type="dxa"/>
              <w:right w:w="15" w:type="dxa"/>
            </w:tcMar>
            <w:vAlign w:val="center"/>
          </w:tcPr>
          <w:p w14:paraId="6D938AB0">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《东莞市户外广告设施和招牌设置管理条例》　第四十四条：“违反本条例第三十一条第一款规定，设置人未按照要求进行安全检测的，由城市管理综合执法部门责令限期改正；逾期未改正的，处以一万元以上五万元以下罚款。未按要求提交安全检测报告的，由城市管理综合执法部门责令限期改正；逾期未改正的，处以五千元罚款。”</w:t>
            </w:r>
          </w:p>
        </w:tc>
        <w:tc>
          <w:tcPr>
            <w:tcW w:w="177" w:type="pct"/>
            <w:gridSpan w:val="2"/>
            <w:shd w:val="clear" w:color="auto" w:fill="auto"/>
            <w:tcMar>
              <w:top w:w="15" w:type="dxa"/>
              <w:left w:w="15" w:type="dxa"/>
              <w:right w:w="15" w:type="dxa"/>
            </w:tcMar>
            <w:vAlign w:val="center"/>
          </w:tcPr>
          <w:p w14:paraId="479F7A1A">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059CF6E9">
            <w:pPr>
              <w:widowControl/>
              <w:shd w:val="clear"/>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val="en-US" w:eastAsia="zh-CN"/>
              </w:rPr>
              <w:t>户外广告设施</w:t>
            </w:r>
            <w:r>
              <w:rPr>
                <w:rFonts w:hint="default" w:ascii="Times New Roman" w:hAnsi="Times New Roman" w:cs="Times New Roman" w:eastAsiaTheme="minorEastAsia"/>
                <w:color w:val="auto"/>
                <w:kern w:val="0"/>
                <w:sz w:val="18"/>
                <w:szCs w:val="18"/>
                <w:highlight w:val="none"/>
                <w:lang w:eastAsia="zh-CN"/>
              </w:rPr>
              <w:t>单面面积</w:t>
            </w:r>
            <w:r>
              <w:rPr>
                <w:rFonts w:hint="default" w:ascii="Times New Roman" w:hAnsi="Times New Roman" w:cs="Times New Roman" w:eastAsiaTheme="minorEastAsia"/>
                <w:color w:val="auto"/>
                <w:kern w:val="0"/>
                <w:sz w:val="18"/>
                <w:szCs w:val="18"/>
                <w:highlight w:val="none"/>
                <w:lang w:val="en-US" w:eastAsia="zh-CN"/>
              </w:rPr>
              <w:t>30平方米以下</w:t>
            </w:r>
          </w:p>
        </w:tc>
        <w:tc>
          <w:tcPr>
            <w:tcW w:w="545" w:type="pct"/>
            <w:gridSpan w:val="2"/>
            <w:shd w:val="clear" w:color="auto" w:fill="auto"/>
            <w:tcMar>
              <w:top w:w="15" w:type="dxa"/>
              <w:left w:w="15" w:type="dxa"/>
              <w:right w:w="15" w:type="dxa"/>
            </w:tcMar>
            <w:vAlign w:val="center"/>
          </w:tcPr>
          <w:p w14:paraId="10A13387">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处以1万元以上2.2万元以下罚款</w:t>
            </w:r>
          </w:p>
        </w:tc>
        <w:tc>
          <w:tcPr>
            <w:tcW w:w="200" w:type="pct"/>
            <w:gridSpan w:val="2"/>
            <w:vMerge w:val="restart"/>
            <w:shd w:val="clear" w:color="auto" w:fill="auto"/>
            <w:tcMar>
              <w:top w:w="15" w:type="dxa"/>
              <w:left w:w="15" w:type="dxa"/>
              <w:right w:w="15" w:type="dxa"/>
            </w:tcMar>
            <w:vAlign w:val="center"/>
          </w:tcPr>
          <w:p w14:paraId="4C58BE34">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责令限期改正</w:t>
            </w:r>
          </w:p>
        </w:tc>
        <w:tc>
          <w:tcPr>
            <w:tcW w:w="390" w:type="pct"/>
            <w:gridSpan w:val="3"/>
            <w:vMerge w:val="restart"/>
            <w:shd w:val="clear" w:color="auto" w:fill="auto"/>
            <w:tcMar>
              <w:top w:w="15" w:type="dxa"/>
              <w:left w:w="15" w:type="dxa"/>
              <w:right w:w="15" w:type="dxa"/>
            </w:tcMar>
            <w:vAlign w:val="center"/>
          </w:tcPr>
          <w:p w14:paraId="1647A64C">
            <w:pPr>
              <w:shd w:val="clear"/>
              <w:rPr>
                <w:rFonts w:hint="default" w:ascii="Times New Roman" w:hAnsi="Times New Roman" w:cs="Times New Roman" w:eastAsiaTheme="minorEastAsia"/>
                <w:color w:val="auto"/>
                <w:sz w:val="18"/>
                <w:szCs w:val="18"/>
                <w:highlight w:val="none"/>
                <w:lang w:val="en-US" w:eastAsia="zh-CN"/>
              </w:rPr>
            </w:pPr>
          </w:p>
        </w:tc>
      </w:tr>
      <w:tr w14:paraId="68C46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trPr>
        <w:tc>
          <w:tcPr>
            <w:tcW w:w="117" w:type="pct"/>
            <w:gridSpan w:val="2"/>
            <w:vMerge w:val="continue"/>
            <w:shd w:val="clear" w:color="auto" w:fill="auto"/>
            <w:tcMar>
              <w:top w:w="15" w:type="dxa"/>
              <w:left w:w="15" w:type="dxa"/>
              <w:right w:w="15" w:type="dxa"/>
            </w:tcMar>
            <w:vAlign w:val="center"/>
          </w:tcPr>
          <w:p w14:paraId="6BBBB3BB">
            <w:pPr>
              <w:shd w:val="clear"/>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78614A38">
            <w:pPr>
              <w:shd w:val="clear"/>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0E08D7AE">
            <w:pPr>
              <w:shd w:val="clear"/>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765A5E0A">
            <w:pPr>
              <w:shd w:val="clear"/>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7B383AB5">
            <w:pPr>
              <w:shd w:val="clea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tcMar>
              <w:top w:w="15" w:type="dxa"/>
              <w:left w:w="15" w:type="dxa"/>
              <w:right w:w="15" w:type="dxa"/>
            </w:tcMar>
            <w:vAlign w:val="center"/>
          </w:tcPr>
          <w:p w14:paraId="5385202B">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户外广告设施单面面积30平方米以上60平方米以下</w:t>
            </w:r>
          </w:p>
        </w:tc>
        <w:tc>
          <w:tcPr>
            <w:tcW w:w="545" w:type="pct"/>
            <w:gridSpan w:val="2"/>
            <w:shd w:val="clear" w:color="auto" w:fill="auto"/>
            <w:tcMar>
              <w:top w:w="15" w:type="dxa"/>
              <w:left w:w="15" w:type="dxa"/>
              <w:right w:w="15" w:type="dxa"/>
            </w:tcMar>
            <w:vAlign w:val="center"/>
          </w:tcPr>
          <w:p w14:paraId="27295CFE">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处以2.2万元以上3.8万元以下罚款</w:t>
            </w:r>
          </w:p>
        </w:tc>
        <w:tc>
          <w:tcPr>
            <w:tcW w:w="200" w:type="pct"/>
            <w:gridSpan w:val="2"/>
            <w:vMerge w:val="continue"/>
            <w:shd w:val="clear" w:color="auto" w:fill="auto"/>
            <w:tcMar>
              <w:top w:w="15" w:type="dxa"/>
              <w:left w:w="15" w:type="dxa"/>
              <w:right w:w="15" w:type="dxa"/>
            </w:tcMar>
            <w:vAlign w:val="center"/>
          </w:tcPr>
          <w:p w14:paraId="1B43A20B">
            <w:pPr>
              <w:shd w:val="clear"/>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35A2698A">
            <w:pPr>
              <w:shd w:val="clear"/>
              <w:rPr>
                <w:rFonts w:hint="default" w:ascii="Times New Roman" w:hAnsi="Times New Roman" w:cs="Times New Roman" w:eastAsiaTheme="minorEastAsia"/>
                <w:color w:val="auto"/>
                <w:kern w:val="0"/>
                <w:sz w:val="18"/>
                <w:szCs w:val="18"/>
                <w:highlight w:val="none"/>
              </w:rPr>
            </w:pPr>
          </w:p>
        </w:tc>
      </w:tr>
      <w:tr w14:paraId="162CF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trPr>
        <w:tc>
          <w:tcPr>
            <w:tcW w:w="117" w:type="pct"/>
            <w:gridSpan w:val="2"/>
            <w:vMerge w:val="continue"/>
            <w:shd w:val="clear" w:color="auto" w:fill="auto"/>
            <w:tcMar>
              <w:top w:w="15" w:type="dxa"/>
              <w:left w:w="15" w:type="dxa"/>
              <w:right w:w="15" w:type="dxa"/>
            </w:tcMar>
            <w:vAlign w:val="center"/>
          </w:tcPr>
          <w:p w14:paraId="4CAAE2B4">
            <w:pPr>
              <w:shd w:val="clear"/>
              <w:rPr>
                <w:rFonts w:hint="default" w:ascii="Times New Roman" w:hAnsi="Times New Roman" w:cs="Times New Roman" w:eastAsiaTheme="minorEastAsia"/>
                <w:color w:val="auto"/>
                <w:kern w:val="0"/>
                <w:sz w:val="18"/>
                <w:szCs w:val="18"/>
                <w:highlight w:val="none"/>
              </w:rPr>
            </w:pPr>
          </w:p>
        </w:tc>
        <w:tc>
          <w:tcPr>
            <w:tcW w:w="411" w:type="pct"/>
            <w:gridSpan w:val="2"/>
            <w:vMerge w:val="continue"/>
            <w:shd w:val="clear" w:color="auto" w:fill="auto"/>
            <w:tcMar>
              <w:top w:w="15" w:type="dxa"/>
              <w:left w:w="15" w:type="dxa"/>
              <w:right w:w="15" w:type="dxa"/>
            </w:tcMar>
            <w:vAlign w:val="center"/>
          </w:tcPr>
          <w:p w14:paraId="3BC6FD8C">
            <w:pPr>
              <w:shd w:val="clear"/>
              <w:rPr>
                <w:rFonts w:hint="default" w:ascii="Times New Roman" w:hAnsi="Times New Roman" w:cs="Times New Roman" w:eastAsiaTheme="minorEastAsia"/>
                <w:color w:val="auto"/>
                <w:kern w:val="0"/>
                <w:sz w:val="18"/>
                <w:szCs w:val="18"/>
                <w:highlight w:val="none"/>
              </w:rPr>
            </w:pPr>
          </w:p>
        </w:tc>
        <w:tc>
          <w:tcPr>
            <w:tcW w:w="1310" w:type="pct"/>
            <w:gridSpan w:val="2"/>
            <w:vMerge w:val="continue"/>
            <w:shd w:val="clear" w:color="auto" w:fill="auto"/>
            <w:tcMar>
              <w:top w:w="15" w:type="dxa"/>
              <w:left w:w="15" w:type="dxa"/>
              <w:right w:w="15" w:type="dxa"/>
            </w:tcMar>
            <w:vAlign w:val="center"/>
          </w:tcPr>
          <w:p w14:paraId="5E0B1989">
            <w:pPr>
              <w:shd w:val="clear"/>
              <w:rPr>
                <w:rFonts w:hint="default" w:ascii="Times New Roman" w:hAnsi="Times New Roman" w:cs="Times New Roman" w:eastAsiaTheme="minorEastAsia"/>
                <w:color w:val="auto"/>
                <w:kern w:val="0"/>
                <w:sz w:val="18"/>
                <w:szCs w:val="18"/>
                <w:highlight w:val="none"/>
              </w:rPr>
            </w:pPr>
          </w:p>
        </w:tc>
        <w:tc>
          <w:tcPr>
            <w:tcW w:w="1314" w:type="pct"/>
            <w:gridSpan w:val="2"/>
            <w:vMerge w:val="continue"/>
            <w:shd w:val="clear" w:color="auto" w:fill="auto"/>
            <w:tcMar>
              <w:top w:w="15" w:type="dxa"/>
              <w:left w:w="15" w:type="dxa"/>
              <w:right w:w="15" w:type="dxa"/>
            </w:tcMar>
            <w:vAlign w:val="center"/>
          </w:tcPr>
          <w:p w14:paraId="0B336817">
            <w:pPr>
              <w:shd w:val="clear"/>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52017D13">
            <w:pPr>
              <w:shd w:val="clea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2767065D">
            <w:pPr>
              <w:shd w:val="clea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户外广告设施</w:t>
            </w:r>
            <w:r>
              <w:rPr>
                <w:rFonts w:hint="default" w:ascii="Times New Roman" w:hAnsi="Times New Roman" w:cs="Times New Roman" w:eastAsiaTheme="minorEastAsia"/>
                <w:color w:val="auto"/>
                <w:kern w:val="0"/>
                <w:sz w:val="18"/>
                <w:szCs w:val="18"/>
                <w:highlight w:val="none"/>
                <w:lang w:eastAsia="zh-CN"/>
              </w:rPr>
              <w:t>单面</w:t>
            </w:r>
            <w:r>
              <w:rPr>
                <w:rFonts w:hint="default" w:ascii="Times New Roman" w:hAnsi="Times New Roman" w:cs="Times New Roman" w:eastAsiaTheme="minorEastAsia"/>
                <w:color w:val="auto"/>
                <w:kern w:val="0"/>
                <w:sz w:val="18"/>
                <w:szCs w:val="18"/>
                <w:highlight w:val="none"/>
              </w:rPr>
              <w:t>面积</w:t>
            </w:r>
            <w:r>
              <w:rPr>
                <w:rFonts w:hint="default" w:ascii="Times New Roman" w:hAnsi="Times New Roman" w:cs="Times New Roman" w:eastAsiaTheme="minorEastAsia"/>
                <w:color w:val="auto"/>
                <w:kern w:val="0"/>
                <w:sz w:val="18"/>
                <w:szCs w:val="18"/>
                <w:highlight w:val="none"/>
                <w:lang w:val="en-US" w:eastAsia="zh-CN"/>
              </w:rPr>
              <w:t>60</w:t>
            </w:r>
            <w:r>
              <w:rPr>
                <w:rFonts w:hint="default" w:ascii="Times New Roman" w:hAnsi="Times New Roman" w:cs="Times New Roman" w:eastAsiaTheme="minorEastAsia"/>
                <w:color w:val="auto"/>
                <w:kern w:val="0"/>
                <w:sz w:val="18"/>
                <w:szCs w:val="18"/>
                <w:highlight w:val="none"/>
              </w:rPr>
              <w:t>平方米</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2F133CEB">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处以3.8万元以上5万元以下罚款</w:t>
            </w:r>
          </w:p>
        </w:tc>
        <w:tc>
          <w:tcPr>
            <w:tcW w:w="200" w:type="pct"/>
            <w:gridSpan w:val="2"/>
            <w:vMerge w:val="continue"/>
            <w:shd w:val="clear" w:color="auto" w:fill="auto"/>
            <w:tcMar>
              <w:top w:w="15" w:type="dxa"/>
              <w:left w:w="15" w:type="dxa"/>
              <w:right w:w="15" w:type="dxa"/>
            </w:tcMar>
            <w:vAlign w:val="center"/>
          </w:tcPr>
          <w:p w14:paraId="653DC56C">
            <w:pPr>
              <w:shd w:val="clear"/>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55CDD816">
            <w:pPr>
              <w:shd w:val="clear"/>
              <w:rPr>
                <w:rFonts w:hint="default" w:ascii="Times New Roman" w:hAnsi="Times New Roman" w:cs="Times New Roman" w:eastAsiaTheme="minorEastAsia"/>
                <w:color w:val="auto"/>
                <w:kern w:val="0"/>
                <w:sz w:val="18"/>
                <w:szCs w:val="18"/>
                <w:highlight w:val="none"/>
              </w:rPr>
            </w:pPr>
          </w:p>
        </w:tc>
      </w:tr>
      <w:tr w14:paraId="2026F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117" w:type="pct"/>
            <w:gridSpan w:val="2"/>
            <w:vMerge w:val="restart"/>
            <w:shd w:val="clear" w:color="auto" w:fill="auto"/>
            <w:tcMar>
              <w:top w:w="15" w:type="dxa"/>
              <w:left w:w="15" w:type="dxa"/>
              <w:right w:w="15" w:type="dxa"/>
            </w:tcMar>
            <w:vAlign w:val="center"/>
          </w:tcPr>
          <w:p w14:paraId="29643E8A">
            <w:pPr>
              <w:shd w:val="clear"/>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65</w:t>
            </w:r>
          </w:p>
        </w:tc>
        <w:tc>
          <w:tcPr>
            <w:tcW w:w="411" w:type="pct"/>
            <w:gridSpan w:val="2"/>
            <w:vMerge w:val="restart"/>
            <w:shd w:val="clear" w:color="auto" w:fill="auto"/>
            <w:tcMar>
              <w:top w:w="15" w:type="dxa"/>
              <w:left w:w="15" w:type="dxa"/>
              <w:right w:w="15" w:type="dxa"/>
            </w:tcMar>
            <w:vAlign w:val="center"/>
          </w:tcPr>
          <w:p w14:paraId="42DE82DE">
            <w:pPr>
              <w:shd w:val="clear"/>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户外广告设施和招牌出现画面污损或者不完整、严重褪色、字体残缺、照明设施损坏等影响市容市貌情形</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lang w:val="en-US" w:eastAsia="zh-CN"/>
              </w:rPr>
              <w:t>逾期不维修、更新</w:t>
            </w:r>
            <w:r>
              <w:rPr>
                <w:rFonts w:hint="default" w:ascii="Times New Roman" w:hAnsi="Times New Roman" w:cs="Times New Roman" w:eastAsiaTheme="minorEastAsia"/>
                <w:color w:val="auto"/>
                <w:kern w:val="0"/>
                <w:sz w:val="18"/>
                <w:szCs w:val="18"/>
                <w:highlight w:val="none"/>
              </w:rPr>
              <w:t>的</w:t>
            </w:r>
          </w:p>
        </w:tc>
        <w:tc>
          <w:tcPr>
            <w:tcW w:w="1310" w:type="pct"/>
            <w:gridSpan w:val="2"/>
            <w:vMerge w:val="restart"/>
            <w:shd w:val="clear" w:color="auto" w:fill="auto"/>
            <w:tcMar>
              <w:top w:w="15" w:type="dxa"/>
              <w:left w:w="15" w:type="dxa"/>
              <w:right w:w="15" w:type="dxa"/>
            </w:tcMar>
            <w:vAlign w:val="center"/>
          </w:tcPr>
          <w:p w14:paraId="5D94ABA5">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《东莞市户外广告设施和招牌设置管理条例》　第三十二条</w:t>
            </w:r>
            <w:r>
              <w:rPr>
                <w:rFonts w:hint="default" w:ascii="Times New Roman" w:hAnsi="Times New Roman" w:cs="Times New Roman" w:eastAsiaTheme="minorEastAsia"/>
                <w:color w:val="auto"/>
                <w:kern w:val="0"/>
                <w:sz w:val="18"/>
                <w:szCs w:val="18"/>
                <w:highlight w:val="none"/>
                <w:lang w:val="en-US" w:eastAsia="zh-CN"/>
              </w:rPr>
              <w:t>第二款：“</w:t>
            </w:r>
            <w:r>
              <w:rPr>
                <w:rFonts w:hint="default" w:ascii="Times New Roman" w:hAnsi="Times New Roman" w:cs="Times New Roman" w:eastAsiaTheme="minorEastAsia"/>
                <w:color w:val="auto"/>
                <w:kern w:val="0"/>
                <w:sz w:val="18"/>
                <w:szCs w:val="18"/>
                <w:highlight w:val="none"/>
              </w:rPr>
              <w:t>户外广告设施和招牌出现画面污损或者不完整、严重褪色、字体残缺、照明设施损坏等影响城市容貌情形的，应当及时维修、更新，并在修复前停止使用。</w:t>
            </w:r>
            <w:r>
              <w:rPr>
                <w:rFonts w:hint="default" w:ascii="Times New Roman" w:hAnsi="Times New Roman" w:cs="Times New Roman" w:eastAsiaTheme="minorEastAsia"/>
                <w:color w:val="auto"/>
                <w:kern w:val="0"/>
                <w:sz w:val="18"/>
                <w:szCs w:val="18"/>
                <w:highlight w:val="none"/>
                <w:lang w:eastAsia="zh-CN"/>
              </w:rPr>
              <w:t>”</w:t>
            </w:r>
          </w:p>
        </w:tc>
        <w:tc>
          <w:tcPr>
            <w:tcW w:w="1314" w:type="pct"/>
            <w:gridSpan w:val="2"/>
            <w:vMerge w:val="restart"/>
            <w:shd w:val="clear" w:color="auto" w:fill="auto"/>
            <w:tcMar>
              <w:top w:w="15" w:type="dxa"/>
              <w:left w:w="15" w:type="dxa"/>
              <w:right w:w="15" w:type="dxa"/>
            </w:tcMar>
            <w:vAlign w:val="center"/>
          </w:tcPr>
          <w:p w14:paraId="5F2E510C">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《东莞市户外广告设施和招牌设置管理条例》　第四十五条</w:t>
            </w:r>
            <w:r>
              <w:rPr>
                <w:rFonts w:hint="default" w:ascii="Times New Roman" w:hAnsi="Times New Roman" w:cs="Times New Roman" w:eastAsiaTheme="minorEastAsia"/>
                <w:color w:val="auto"/>
                <w:kern w:val="0"/>
                <w:sz w:val="18"/>
                <w:szCs w:val="18"/>
                <w:highlight w:val="none"/>
                <w:lang w:val="en-US" w:eastAsia="zh-CN"/>
              </w:rPr>
              <w:t>第一款</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违反本条例第三十二条第二款规定，户外广告设施和招牌出现画面污损或者不完整、严重褪色、字体残缺、照明设施损坏等影响市容市貌情形的，由城市管理综合执法部门责令设置人限期维修、更新；逾期不维修、更新的，处以二千元以上五千元以下罚款。</w:t>
            </w:r>
            <w:r>
              <w:rPr>
                <w:rFonts w:hint="default" w:ascii="Times New Roman" w:hAnsi="Times New Roman" w:cs="Times New Roman" w:eastAsiaTheme="minorEastAsia"/>
                <w:color w:val="auto"/>
                <w:kern w:val="0"/>
                <w:sz w:val="18"/>
                <w:szCs w:val="18"/>
                <w:highlight w:val="none"/>
                <w:lang w:eastAsia="zh-CN"/>
              </w:rPr>
              <w:t>”</w:t>
            </w:r>
          </w:p>
        </w:tc>
        <w:tc>
          <w:tcPr>
            <w:tcW w:w="177" w:type="pct"/>
            <w:gridSpan w:val="2"/>
            <w:shd w:val="clear" w:color="auto" w:fill="auto"/>
            <w:tcMar>
              <w:top w:w="15" w:type="dxa"/>
              <w:left w:w="15" w:type="dxa"/>
              <w:right w:w="15" w:type="dxa"/>
            </w:tcMar>
            <w:vAlign w:val="center"/>
          </w:tcPr>
          <w:p w14:paraId="1AD12B25">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3D51D5DB">
            <w:pPr>
              <w:widowControl/>
              <w:shd w:val="clea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eastAsia="zh-CN"/>
              </w:rPr>
              <w:t>户外广告设施或招牌面积</w:t>
            </w:r>
            <w:r>
              <w:rPr>
                <w:rFonts w:hint="default" w:ascii="Times New Roman" w:hAnsi="Times New Roman" w:cs="Times New Roman" w:eastAsiaTheme="minorEastAsia"/>
                <w:color w:val="auto"/>
                <w:kern w:val="0"/>
                <w:sz w:val="18"/>
                <w:szCs w:val="18"/>
                <w:highlight w:val="none"/>
                <w:lang w:val="en-US" w:eastAsia="zh-CN"/>
              </w:rPr>
              <w:t>5平方米以下</w:t>
            </w:r>
          </w:p>
        </w:tc>
        <w:tc>
          <w:tcPr>
            <w:tcW w:w="545" w:type="pct"/>
            <w:gridSpan w:val="2"/>
            <w:shd w:val="clear" w:color="auto" w:fill="auto"/>
            <w:tcMar>
              <w:top w:w="15" w:type="dxa"/>
              <w:left w:w="15" w:type="dxa"/>
              <w:right w:w="15" w:type="dxa"/>
            </w:tcMar>
            <w:vAlign w:val="center"/>
          </w:tcPr>
          <w:p w14:paraId="58E8FB9E">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sz w:val="18"/>
                <w:szCs w:val="18"/>
                <w:highlight w:val="none"/>
                <w:lang w:val="en-US" w:eastAsia="zh-CN"/>
              </w:rPr>
              <w:t>处以2000元以上2900元以下罚款</w:t>
            </w:r>
          </w:p>
        </w:tc>
        <w:tc>
          <w:tcPr>
            <w:tcW w:w="200" w:type="pct"/>
            <w:gridSpan w:val="2"/>
            <w:vMerge w:val="restart"/>
            <w:shd w:val="clear" w:color="auto" w:fill="auto"/>
            <w:tcMar>
              <w:top w:w="15" w:type="dxa"/>
              <w:left w:w="15" w:type="dxa"/>
              <w:right w:w="15" w:type="dxa"/>
            </w:tcMar>
            <w:vAlign w:val="center"/>
          </w:tcPr>
          <w:p w14:paraId="3404A9D4">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责令限期维修、更新</w:t>
            </w:r>
          </w:p>
        </w:tc>
        <w:tc>
          <w:tcPr>
            <w:tcW w:w="390" w:type="pct"/>
            <w:gridSpan w:val="3"/>
            <w:vMerge w:val="restart"/>
            <w:shd w:val="clear" w:color="auto" w:fill="auto"/>
            <w:tcMar>
              <w:top w:w="15" w:type="dxa"/>
              <w:left w:w="15" w:type="dxa"/>
              <w:right w:w="15" w:type="dxa"/>
            </w:tcMar>
            <w:vAlign w:val="center"/>
          </w:tcPr>
          <w:p w14:paraId="521DEF7F">
            <w:pPr>
              <w:shd w:val="clear"/>
              <w:rPr>
                <w:rFonts w:hint="default" w:ascii="Times New Roman" w:hAnsi="Times New Roman" w:cs="Times New Roman" w:eastAsiaTheme="minorEastAsia"/>
                <w:color w:val="auto"/>
                <w:sz w:val="18"/>
                <w:szCs w:val="18"/>
                <w:highlight w:val="none"/>
                <w:lang w:val="en-US" w:eastAsia="zh-CN"/>
              </w:rPr>
            </w:pPr>
          </w:p>
        </w:tc>
      </w:tr>
      <w:tr w14:paraId="5C2C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117" w:type="pct"/>
            <w:gridSpan w:val="2"/>
            <w:vMerge w:val="continue"/>
            <w:shd w:val="clear" w:color="auto" w:fill="auto"/>
            <w:tcMar>
              <w:top w:w="15" w:type="dxa"/>
              <w:left w:w="15" w:type="dxa"/>
              <w:right w:w="15" w:type="dxa"/>
            </w:tcMar>
            <w:vAlign w:val="center"/>
          </w:tcPr>
          <w:p w14:paraId="0A3932B1">
            <w:pPr>
              <w:shd w:val="clear"/>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48354761">
            <w:pPr>
              <w:shd w:val="clear"/>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4E7F0C81">
            <w:pPr>
              <w:shd w:val="clear"/>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3F3C8944">
            <w:pPr>
              <w:shd w:val="clear"/>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0A47C06A">
            <w:pPr>
              <w:shd w:val="clea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tcMar>
              <w:top w:w="15" w:type="dxa"/>
              <w:left w:w="15" w:type="dxa"/>
              <w:right w:w="15" w:type="dxa"/>
            </w:tcMar>
            <w:vAlign w:val="center"/>
          </w:tcPr>
          <w:p w14:paraId="3336BA69">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户外广告设施或招牌面积5平方米以上10平方米以下</w:t>
            </w:r>
          </w:p>
        </w:tc>
        <w:tc>
          <w:tcPr>
            <w:tcW w:w="545" w:type="pct"/>
            <w:gridSpan w:val="2"/>
            <w:shd w:val="clear" w:color="auto" w:fill="auto"/>
            <w:tcMar>
              <w:top w:w="15" w:type="dxa"/>
              <w:left w:w="15" w:type="dxa"/>
              <w:right w:w="15" w:type="dxa"/>
            </w:tcMar>
            <w:vAlign w:val="center"/>
          </w:tcPr>
          <w:p w14:paraId="57DA9DF0">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处以2900元以上4100元以下罚款</w:t>
            </w:r>
          </w:p>
        </w:tc>
        <w:tc>
          <w:tcPr>
            <w:tcW w:w="200" w:type="pct"/>
            <w:gridSpan w:val="2"/>
            <w:vMerge w:val="continue"/>
            <w:shd w:val="clear" w:color="auto" w:fill="auto"/>
            <w:tcMar>
              <w:top w:w="15" w:type="dxa"/>
              <w:left w:w="15" w:type="dxa"/>
              <w:right w:w="15" w:type="dxa"/>
            </w:tcMar>
            <w:vAlign w:val="center"/>
          </w:tcPr>
          <w:p w14:paraId="7E0CF16F">
            <w:pPr>
              <w:shd w:val="clear"/>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00C1187B">
            <w:pPr>
              <w:shd w:val="clear"/>
              <w:rPr>
                <w:rFonts w:hint="default" w:ascii="Times New Roman" w:hAnsi="Times New Roman" w:cs="Times New Roman" w:eastAsiaTheme="minorEastAsia"/>
                <w:color w:val="auto"/>
                <w:kern w:val="0"/>
                <w:sz w:val="18"/>
                <w:szCs w:val="18"/>
                <w:highlight w:val="none"/>
              </w:rPr>
            </w:pPr>
          </w:p>
        </w:tc>
      </w:tr>
      <w:tr w14:paraId="51E1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117" w:type="pct"/>
            <w:gridSpan w:val="2"/>
            <w:vMerge w:val="continue"/>
            <w:shd w:val="clear" w:color="auto" w:fill="auto"/>
            <w:tcMar>
              <w:top w:w="15" w:type="dxa"/>
              <w:left w:w="15" w:type="dxa"/>
              <w:right w:w="15" w:type="dxa"/>
            </w:tcMar>
            <w:vAlign w:val="center"/>
          </w:tcPr>
          <w:p w14:paraId="6632E25A">
            <w:pPr>
              <w:shd w:val="clear"/>
              <w:rPr>
                <w:rFonts w:hint="default" w:ascii="Times New Roman" w:hAnsi="Times New Roman" w:cs="Times New Roman" w:eastAsiaTheme="minorEastAsia"/>
                <w:color w:val="auto"/>
                <w:kern w:val="0"/>
                <w:sz w:val="18"/>
                <w:szCs w:val="18"/>
                <w:highlight w:val="none"/>
              </w:rPr>
            </w:pPr>
          </w:p>
        </w:tc>
        <w:tc>
          <w:tcPr>
            <w:tcW w:w="411" w:type="pct"/>
            <w:gridSpan w:val="2"/>
            <w:vMerge w:val="continue"/>
            <w:shd w:val="clear" w:color="auto" w:fill="auto"/>
            <w:tcMar>
              <w:top w:w="15" w:type="dxa"/>
              <w:left w:w="15" w:type="dxa"/>
              <w:right w:w="15" w:type="dxa"/>
            </w:tcMar>
            <w:vAlign w:val="center"/>
          </w:tcPr>
          <w:p w14:paraId="1FF3A12D">
            <w:pPr>
              <w:shd w:val="clear"/>
              <w:rPr>
                <w:rFonts w:hint="default" w:ascii="Times New Roman" w:hAnsi="Times New Roman" w:cs="Times New Roman" w:eastAsiaTheme="minorEastAsia"/>
                <w:color w:val="auto"/>
                <w:kern w:val="0"/>
                <w:sz w:val="18"/>
                <w:szCs w:val="18"/>
                <w:highlight w:val="none"/>
              </w:rPr>
            </w:pPr>
          </w:p>
        </w:tc>
        <w:tc>
          <w:tcPr>
            <w:tcW w:w="1310" w:type="pct"/>
            <w:gridSpan w:val="2"/>
            <w:vMerge w:val="continue"/>
            <w:shd w:val="clear" w:color="auto" w:fill="auto"/>
            <w:tcMar>
              <w:top w:w="15" w:type="dxa"/>
              <w:left w:w="15" w:type="dxa"/>
              <w:right w:w="15" w:type="dxa"/>
            </w:tcMar>
            <w:vAlign w:val="center"/>
          </w:tcPr>
          <w:p w14:paraId="0CC0FC1B">
            <w:pPr>
              <w:shd w:val="clear"/>
              <w:rPr>
                <w:rFonts w:hint="default" w:ascii="Times New Roman" w:hAnsi="Times New Roman" w:cs="Times New Roman" w:eastAsiaTheme="minorEastAsia"/>
                <w:color w:val="auto"/>
                <w:kern w:val="0"/>
                <w:sz w:val="18"/>
                <w:szCs w:val="18"/>
                <w:highlight w:val="none"/>
              </w:rPr>
            </w:pPr>
          </w:p>
        </w:tc>
        <w:tc>
          <w:tcPr>
            <w:tcW w:w="1314" w:type="pct"/>
            <w:gridSpan w:val="2"/>
            <w:vMerge w:val="continue"/>
            <w:shd w:val="clear" w:color="auto" w:fill="auto"/>
            <w:tcMar>
              <w:top w:w="15" w:type="dxa"/>
              <w:left w:w="15" w:type="dxa"/>
              <w:right w:w="15" w:type="dxa"/>
            </w:tcMar>
            <w:vAlign w:val="center"/>
          </w:tcPr>
          <w:p w14:paraId="7BEF732A">
            <w:pPr>
              <w:shd w:val="clear"/>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4F1C12D7">
            <w:pPr>
              <w:shd w:val="clea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0CA909E5">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户外广告设施</w:t>
            </w:r>
            <w:r>
              <w:rPr>
                <w:rFonts w:hint="default" w:ascii="Times New Roman" w:hAnsi="Times New Roman" w:cs="Times New Roman" w:eastAsiaTheme="minorEastAsia"/>
                <w:color w:val="auto"/>
                <w:kern w:val="0"/>
                <w:sz w:val="18"/>
                <w:szCs w:val="18"/>
                <w:highlight w:val="none"/>
                <w:lang w:val="en-US" w:eastAsia="zh-CN"/>
              </w:rPr>
              <w:t>或</w:t>
            </w:r>
            <w:r>
              <w:rPr>
                <w:rFonts w:hint="default" w:ascii="Times New Roman" w:hAnsi="Times New Roman" w:cs="Times New Roman" w:eastAsiaTheme="minorEastAsia"/>
                <w:color w:val="auto"/>
                <w:kern w:val="0"/>
                <w:sz w:val="18"/>
                <w:szCs w:val="18"/>
                <w:highlight w:val="none"/>
              </w:rPr>
              <w:t>招牌</w:t>
            </w:r>
            <w:r>
              <w:rPr>
                <w:rFonts w:hint="default" w:ascii="Times New Roman" w:hAnsi="Times New Roman" w:cs="Times New Roman" w:eastAsiaTheme="minorEastAsia"/>
                <w:color w:val="auto"/>
                <w:kern w:val="0"/>
                <w:sz w:val="18"/>
                <w:szCs w:val="18"/>
                <w:highlight w:val="none"/>
                <w:lang w:val="en-US" w:eastAsia="zh-CN"/>
              </w:rPr>
              <w:t>面积10平方米以上</w:t>
            </w:r>
          </w:p>
        </w:tc>
        <w:tc>
          <w:tcPr>
            <w:tcW w:w="545" w:type="pct"/>
            <w:gridSpan w:val="2"/>
            <w:shd w:val="clear" w:color="auto" w:fill="auto"/>
            <w:tcMar>
              <w:top w:w="15" w:type="dxa"/>
              <w:left w:w="15" w:type="dxa"/>
              <w:right w:w="15" w:type="dxa"/>
            </w:tcMar>
            <w:vAlign w:val="center"/>
          </w:tcPr>
          <w:p w14:paraId="6C9508F2">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处以4100元以上5000元以下罚款</w:t>
            </w:r>
          </w:p>
        </w:tc>
        <w:tc>
          <w:tcPr>
            <w:tcW w:w="200" w:type="pct"/>
            <w:gridSpan w:val="2"/>
            <w:vMerge w:val="continue"/>
            <w:shd w:val="clear" w:color="auto" w:fill="auto"/>
            <w:tcMar>
              <w:top w:w="15" w:type="dxa"/>
              <w:left w:w="15" w:type="dxa"/>
              <w:right w:w="15" w:type="dxa"/>
            </w:tcMar>
            <w:vAlign w:val="center"/>
          </w:tcPr>
          <w:p w14:paraId="6FAA1684">
            <w:pPr>
              <w:shd w:val="clear"/>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227E0A50">
            <w:pPr>
              <w:shd w:val="clear"/>
              <w:rPr>
                <w:rFonts w:hint="default" w:ascii="Times New Roman" w:hAnsi="Times New Roman" w:cs="Times New Roman" w:eastAsiaTheme="minorEastAsia"/>
                <w:color w:val="auto"/>
                <w:kern w:val="0"/>
                <w:sz w:val="18"/>
                <w:szCs w:val="18"/>
                <w:highlight w:val="none"/>
              </w:rPr>
            </w:pPr>
          </w:p>
        </w:tc>
      </w:tr>
      <w:tr w14:paraId="05F24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117" w:type="pct"/>
            <w:gridSpan w:val="2"/>
            <w:vMerge w:val="restart"/>
            <w:shd w:val="clear" w:color="auto" w:fill="auto"/>
            <w:tcMar>
              <w:top w:w="15" w:type="dxa"/>
              <w:left w:w="15" w:type="dxa"/>
              <w:right w:w="15" w:type="dxa"/>
            </w:tcMar>
            <w:vAlign w:val="center"/>
          </w:tcPr>
          <w:p w14:paraId="57085034">
            <w:pPr>
              <w:shd w:val="clear"/>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66</w:t>
            </w:r>
          </w:p>
        </w:tc>
        <w:tc>
          <w:tcPr>
            <w:tcW w:w="411" w:type="pct"/>
            <w:gridSpan w:val="2"/>
            <w:vMerge w:val="restart"/>
            <w:shd w:val="clear" w:color="auto" w:fill="auto"/>
            <w:tcMar>
              <w:top w:w="15" w:type="dxa"/>
              <w:left w:w="15" w:type="dxa"/>
              <w:right w:w="15" w:type="dxa"/>
            </w:tcMar>
            <w:vAlign w:val="center"/>
          </w:tcPr>
          <w:p w14:paraId="59888414">
            <w:pPr>
              <w:shd w:val="clear"/>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设置人未准确标明户外广告设施设置许可证的文号、日常维护联系人或者联系方式，逾期不改的</w:t>
            </w:r>
          </w:p>
        </w:tc>
        <w:tc>
          <w:tcPr>
            <w:tcW w:w="1310" w:type="pct"/>
            <w:gridSpan w:val="2"/>
            <w:vMerge w:val="restart"/>
            <w:shd w:val="clear" w:color="auto" w:fill="auto"/>
            <w:tcMar>
              <w:top w:w="15" w:type="dxa"/>
              <w:left w:w="15" w:type="dxa"/>
              <w:right w:w="15" w:type="dxa"/>
            </w:tcMar>
            <w:vAlign w:val="center"/>
          </w:tcPr>
          <w:p w14:paraId="3BC4EC51">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《东莞市户外广告设施和招牌设置管理条例》　第三十二条第三款：“设置人应当在户外广告设施上准确标明户外广告设施设置许可证的文号、日常维护联系人及联系方式，接受社会监督。”</w:t>
            </w:r>
          </w:p>
        </w:tc>
        <w:tc>
          <w:tcPr>
            <w:tcW w:w="1314" w:type="pct"/>
            <w:gridSpan w:val="2"/>
            <w:vMerge w:val="restart"/>
            <w:shd w:val="clear" w:color="auto" w:fill="auto"/>
            <w:tcMar>
              <w:top w:w="15" w:type="dxa"/>
              <w:left w:w="15" w:type="dxa"/>
              <w:right w:w="15" w:type="dxa"/>
            </w:tcMar>
            <w:vAlign w:val="center"/>
          </w:tcPr>
          <w:p w14:paraId="4F577E4D">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《东莞市户外广告设施和招牌设置管理条例》　第四十五条第二款：“违反本条例第三十二条第三款规定，设置人未准确标明户外广告设施设置许可证的文号、日常维护联系人或者联系方式的，由城市管理综合执法部门责令限期改正；逾期不改正的，处以五百元以上二千元以下的罚款。”</w:t>
            </w:r>
          </w:p>
        </w:tc>
        <w:tc>
          <w:tcPr>
            <w:tcW w:w="177" w:type="pct"/>
            <w:gridSpan w:val="2"/>
            <w:shd w:val="clear" w:color="auto" w:fill="auto"/>
            <w:tcMar>
              <w:top w:w="15" w:type="dxa"/>
              <w:left w:w="15" w:type="dxa"/>
              <w:right w:w="15" w:type="dxa"/>
            </w:tcMar>
            <w:vAlign w:val="center"/>
          </w:tcPr>
          <w:p w14:paraId="470CFD78">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1BA06358">
            <w:pPr>
              <w:widowControl/>
              <w:shd w:val="clea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未准确标明户外广告设施设置许可证的文号、日常维护联系人或者联系方式中</w:t>
            </w:r>
            <w:r>
              <w:rPr>
                <w:rFonts w:hint="default" w:ascii="Times New Roman" w:hAnsi="Times New Roman" w:cs="Times New Roman" w:eastAsiaTheme="minorEastAsia"/>
                <w:color w:val="auto"/>
                <w:kern w:val="0"/>
                <w:sz w:val="18"/>
                <w:szCs w:val="18"/>
                <w:highlight w:val="none"/>
                <w:lang w:eastAsia="zh-CN"/>
              </w:rPr>
              <w:t>任意</w:t>
            </w:r>
            <w:r>
              <w:rPr>
                <w:rFonts w:hint="default" w:ascii="Times New Roman" w:hAnsi="Times New Roman" w:cs="Times New Roman" w:eastAsiaTheme="minorEastAsia"/>
                <w:color w:val="auto"/>
                <w:kern w:val="0"/>
                <w:sz w:val="18"/>
                <w:szCs w:val="18"/>
                <w:highlight w:val="none"/>
                <w:lang w:val="en-US" w:eastAsia="zh-CN"/>
              </w:rPr>
              <w:t>1</w:t>
            </w:r>
            <w:r>
              <w:rPr>
                <w:rFonts w:hint="default" w:ascii="Times New Roman" w:hAnsi="Times New Roman" w:cs="Times New Roman" w:eastAsiaTheme="minorEastAsia"/>
                <w:color w:val="auto"/>
                <w:kern w:val="0"/>
                <w:sz w:val="18"/>
                <w:szCs w:val="18"/>
                <w:highlight w:val="none"/>
              </w:rPr>
              <w:t>项</w:t>
            </w:r>
          </w:p>
        </w:tc>
        <w:tc>
          <w:tcPr>
            <w:tcW w:w="545" w:type="pct"/>
            <w:gridSpan w:val="2"/>
            <w:shd w:val="clear" w:color="auto" w:fill="auto"/>
            <w:tcMar>
              <w:top w:w="15" w:type="dxa"/>
              <w:left w:w="15" w:type="dxa"/>
              <w:right w:w="15" w:type="dxa"/>
            </w:tcMar>
            <w:vAlign w:val="center"/>
          </w:tcPr>
          <w:p w14:paraId="04787C4F">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处以500元以上950元以下罚款</w:t>
            </w:r>
          </w:p>
        </w:tc>
        <w:tc>
          <w:tcPr>
            <w:tcW w:w="200" w:type="pct"/>
            <w:gridSpan w:val="2"/>
            <w:vMerge w:val="restart"/>
            <w:shd w:val="clear" w:color="auto" w:fill="auto"/>
            <w:tcMar>
              <w:top w:w="15" w:type="dxa"/>
              <w:left w:w="15" w:type="dxa"/>
              <w:right w:w="15" w:type="dxa"/>
            </w:tcMar>
            <w:vAlign w:val="center"/>
          </w:tcPr>
          <w:p w14:paraId="54F2A6AF">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w:t>
            </w:r>
          </w:p>
        </w:tc>
        <w:tc>
          <w:tcPr>
            <w:tcW w:w="390" w:type="pct"/>
            <w:gridSpan w:val="3"/>
            <w:vMerge w:val="restart"/>
            <w:shd w:val="clear" w:color="auto" w:fill="auto"/>
            <w:tcMar>
              <w:top w:w="15" w:type="dxa"/>
              <w:left w:w="15" w:type="dxa"/>
              <w:right w:w="15" w:type="dxa"/>
            </w:tcMar>
            <w:vAlign w:val="center"/>
          </w:tcPr>
          <w:p w14:paraId="3F7CD6F3">
            <w:pPr>
              <w:shd w:val="clear"/>
              <w:rPr>
                <w:rFonts w:hint="default" w:ascii="Times New Roman" w:hAnsi="Times New Roman" w:cs="Times New Roman" w:eastAsiaTheme="minorEastAsia"/>
                <w:color w:val="auto"/>
                <w:sz w:val="18"/>
                <w:szCs w:val="18"/>
                <w:highlight w:val="none"/>
              </w:rPr>
            </w:pPr>
          </w:p>
        </w:tc>
      </w:tr>
      <w:tr w14:paraId="4D22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117" w:type="pct"/>
            <w:gridSpan w:val="2"/>
            <w:vMerge w:val="continue"/>
            <w:shd w:val="clear" w:color="auto" w:fill="auto"/>
            <w:tcMar>
              <w:top w:w="15" w:type="dxa"/>
              <w:left w:w="15" w:type="dxa"/>
              <w:right w:w="15" w:type="dxa"/>
            </w:tcMar>
            <w:vAlign w:val="center"/>
          </w:tcPr>
          <w:p w14:paraId="7B4A2A3B">
            <w:pPr>
              <w:shd w:val="clear"/>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1ABA4627">
            <w:pPr>
              <w:shd w:val="clear"/>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37DB3E1B">
            <w:pPr>
              <w:shd w:val="clear"/>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38E1443A">
            <w:pPr>
              <w:shd w:val="clear"/>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1A8BA79D">
            <w:pPr>
              <w:shd w:val="clea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tcMar>
              <w:top w:w="15" w:type="dxa"/>
              <w:left w:w="15" w:type="dxa"/>
              <w:right w:w="15" w:type="dxa"/>
            </w:tcMar>
            <w:vAlign w:val="center"/>
          </w:tcPr>
          <w:p w14:paraId="7CCAD049">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未准确标明户外广告设施设置许可证的文号、日常维护联系人或者联系方式中任意2项</w:t>
            </w:r>
          </w:p>
        </w:tc>
        <w:tc>
          <w:tcPr>
            <w:tcW w:w="545" w:type="pct"/>
            <w:gridSpan w:val="2"/>
            <w:shd w:val="clear" w:color="auto" w:fill="auto"/>
            <w:tcMar>
              <w:top w:w="15" w:type="dxa"/>
              <w:left w:w="15" w:type="dxa"/>
              <w:right w:w="15" w:type="dxa"/>
            </w:tcMar>
            <w:vAlign w:val="center"/>
          </w:tcPr>
          <w:p w14:paraId="1552F04D">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处以950元1550元以下罚款</w:t>
            </w:r>
          </w:p>
        </w:tc>
        <w:tc>
          <w:tcPr>
            <w:tcW w:w="200" w:type="pct"/>
            <w:gridSpan w:val="2"/>
            <w:vMerge w:val="continue"/>
            <w:shd w:val="clear" w:color="auto" w:fill="auto"/>
            <w:tcMar>
              <w:top w:w="15" w:type="dxa"/>
              <w:left w:w="15" w:type="dxa"/>
              <w:right w:w="15" w:type="dxa"/>
            </w:tcMar>
            <w:vAlign w:val="center"/>
          </w:tcPr>
          <w:p w14:paraId="6B6EE226">
            <w:pPr>
              <w:shd w:val="clear"/>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4A18A00D">
            <w:pPr>
              <w:shd w:val="clear"/>
              <w:rPr>
                <w:rFonts w:hint="default" w:ascii="Times New Roman" w:hAnsi="Times New Roman" w:cs="Times New Roman" w:eastAsiaTheme="minorEastAsia"/>
                <w:color w:val="auto"/>
                <w:kern w:val="0"/>
                <w:sz w:val="18"/>
                <w:szCs w:val="18"/>
                <w:highlight w:val="none"/>
              </w:rPr>
            </w:pPr>
          </w:p>
        </w:tc>
      </w:tr>
      <w:tr w14:paraId="5740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117" w:type="pct"/>
            <w:gridSpan w:val="2"/>
            <w:vMerge w:val="continue"/>
            <w:shd w:val="clear" w:color="auto" w:fill="auto"/>
            <w:tcMar>
              <w:top w:w="15" w:type="dxa"/>
              <w:left w:w="15" w:type="dxa"/>
              <w:right w:w="15" w:type="dxa"/>
            </w:tcMar>
            <w:vAlign w:val="center"/>
          </w:tcPr>
          <w:p w14:paraId="5F1CBB4F">
            <w:pPr>
              <w:shd w:val="clear"/>
              <w:rPr>
                <w:rFonts w:hint="default" w:ascii="Times New Roman" w:hAnsi="Times New Roman" w:cs="Times New Roman" w:eastAsiaTheme="minorEastAsia"/>
                <w:color w:val="auto"/>
                <w:kern w:val="0"/>
                <w:sz w:val="18"/>
                <w:szCs w:val="18"/>
                <w:highlight w:val="none"/>
              </w:rPr>
            </w:pPr>
          </w:p>
        </w:tc>
        <w:tc>
          <w:tcPr>
            <w:tcW w:w="411" w:type="pct"/>
            <w:gridSpan w:val="2"/>
            <w:vMerge w:val="continue"/>
            <w:shd w:val="clear" w:color="auto" w:fill="auto"/>
            <w:tcMar>
              <w:top w:w="15" w:type="dxa"/>
              <w:left w:w="15" w:type="dxa"/>
              <w:right w:w="15" w:type="dxa"/>
            </w:tcMar>
            <w:vAlign w:val="center"/>
          </w:tcPr>
          <w:p w14:paraId="1717DF5F">
            <w:pPr>
              <w:shd w:val="clear"/>
              <w:rPr>
                <w:rFonts w:hint="default" w:ascii="Times New Roman" w:hAnsi="Times New Roman" w:cs="Times New Roman" w:eastAsiaTheme="minorEastAsia"/>
                <w:color w:val="auto"/>
                <w:kern w:val="0"/>
                <w:sz w:val="18"/>
                <w:szCs w:val="18"/>
                <w:highlight w:val="none"/>
              </w:rPr>
            </w:pPr>
          </w:p>
        </w:tc>
        <w:tc>
          <w:tcPr>
            <w:tcW w:w="1310" w:type="pct"/>
            <w:gridSpan w:val="2"/>
            <w:vMerge w:val="continue"/>
            <w:shd w:val="clear" w:color="auto" w:fill="auto"/>
            <w:tcMar>
              <w:top w:w="15" w:type="dxa"/>
              <w:left w:w="15" w:type="dxa"/>
              <w:right w:w="15" w:type="dxa"/>
            </w:tcMar>
            <w:vAlign w:val="center"/>
          </w:tcPr>
          <w:p w14:paraId="3D534E82">
            <w:pPr>
              <w:shd w:val="clear"/>
              <w:rPr>
                <w:rFonts w:hint="default" w:ascii="Times New Roman" w:hAnsi="Times New Roman" w:cs="Times New Roman" w:eastAsiaTheme="minorEastAsia"/>
                <w:color w:val="auto"/>
                <w:kern w:val="0"/>
                <w:sz w:val="18"/>
                <w:szCs w:val="18"/>
                <w:highlight w:val="none"/>
              </w:rPr>
            </w:pPr>
          </w:p>
        </w:tc>
        <w:tc>
          <w:tcPr>
            <w:tcW w:w="1314" w:type="pct"/>
            <w:gridSpan w:val="2"/>
            <w:vMerge w:val="continue"/>
            <w:shd w:val="clear" w:color="auto" w:fill="auto"/>
            <w:tcMar>
              <w:top w:w="15" w:type="dxa"/>
              <w:left w:w="15" w:type="dxa"/>
              <w:right w:w="15" w:type="dxa"/>
            </w:tcMar>
            <w:vAlign w:val="center"/>
          </w:tcPr>
          <w:p w14:paraId="2E690BCA">
            <w:pPr>
              <w:shd w:val="clear"/>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48139D1F">
            <w:pPr>
              <w:shd w:val="clea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2D67EF55">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均未准确标明户外广告设施设置许可证的文号、日常维护联系人以及联系方式</w:t>
            </w:r>
          </w:p>
        </w:tc>
        <w:tc>
          <w:tcPr>
            <w:tcW w:w="545" w:type="pct"/>
            <w:gridSpan w:val="2"/>
            <w:shd w:val="clear" w:color="auto" w:fill="auto"/>
            <w:tcMar>
              <w:top w:w="15" w:type="dxa"/>
              <w:left w:w="15" w:type="dxa"/>
              <w:right w:w="15" w:type="dxa"/>
            </w:tcMar>
            <w:vAlign w:val="center"/>
          </w:tcPr>
          <w:p w14:paraId="7B95C98C">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处以1550元以上2000元以下罚款</w:t>
            </w:r>
          </w:p>
        </w:tc>
        <w:tc>
          <w:tcPr>
            <w:tcW w:w="200" w:type="pct"/>
            <w:gridSpan w:val="2"/>
            <w:vMerge w:val="continue"/>
            <w:shd w:val="clear" w:color="auto" w:fill="auto"/>
            <w:tcMar>
              <w:top w:w="15" w:type="dxa"/>
              <w:left w:w="15" w:type="dxa"/>
              <w:right w:w="15" w:type="dxa"/>
            </w:tcMar>
            <w:vAlign w:val="center"/>
          </w:tcPr>
          <w:p w14:paraId="7F2A0B2E">
            <w:pPr>
              <w:shd w:val="clear"/>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170E6095">
            <w:pPr>
              <w:shd w:val="clear"/>
              <w:rPr>
                <w:rFonts w:hint="default" w:ascii="Times New Roman" w:hAnsi="Times New Roman" w:cs="Times New Roman" w:eastAsiaTheme="minorEastAsia"/>
                <w:color w:val="auto"/>
                <w:kern w:val="0"/>
                <w:sz w:val="18"/>
                <w:szCs w:val="18"/>
                <w:highlight w:val="none"/>
              </w:rPr>
            </w:pPr>
          </w:p>
        </w:tc>
      </w:tr>
      <w:tr w14:paraId="3E76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117" w:type="pct"/>
            <w:gridSpan w:val="2"/>
            <w:vMerge w:val="restart"/>
            <w:shd w:val="clear" w:color="auto" w:fill="auto"/>
            <w:tcMar>
              <w:top w:w="15" w:type="dxa"/>
              <w:left w:w="15" w:type="dxa"/>
              <w:right w:w="15" w:type="dxa"/>
            </w:tcMar>
            <w:vAlign w:val="center"/>
          </w:tcPr>
          <w:p w14:paraId="52BED9AB">
            <w:pPr>
              <w:shd w:val="clear"/>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67</w:t>
            </w:r>
          </w:p>
        </w:tc>
        <w:tc>
          <w:tcPr>
            <w:tcW w:w="411" w:type="pct"/>
            <w:gridSpan w:val="2"/>
            <w:vMerge w:val="restart"/>
            <w:shd w:val="clear" w:color="auto" w:fill="auto"/>
            <w:tcMar>
              <w:top w:w="15" w:type="dxa"/>
              <w:left w:w="15" w:type="dxa"/>
              <w:right w:w="15" w:type="dxa"/>
            </w:tcMar>
            <w:vAlign w:val="center"/>
          </w:tcPr>
          <w:p w14:paraId="5FB08FB6">
            <w:pPr>
              <w:shd w:val="clear"/>
              <w:jc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sz w:val="18"/>
                <w:szCs w:val="18"/>
                <w:highlight w:val="none"/>
                <w:lang w:eastAsia="zh-CN"/>
              </w:rPr>
              <w:t>擅自在街道两侧和公共场地设置地锁、地桩等障碍物或者搭建停车相关建筑物、构筑物或者其他设施影响市容的</w:t>
            </w:r>
          </w:p>
        </w:tc>
        <w:tc>
          <w:tcPr>
            <w:tcW w:w="1310" w:type="pct"/>
            <w:gridSpan w:val="2"/>
            <w:vMerge w:val="restart"/>
            <w:shd w:val="clear" w:color="auto" w:fill="auto"/>
            <w:tcMar>
              <w:top w:w="15" w:type="dxa"/>
              <w:left w:w="15" w:type="dxa"/>
              <w:right w:w="15" w:type="dxa"/>
            </w:tcMar>
            <w:vAlign w:val="center"/>
          </w:tcPr>
          <w:p w14:paraId="6EC02AEB">
            <w:pPr>
              <w:shd w:val="clear"/>
              <w:jc w:val="left"/>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1.《城市市容和环境卫生管理条例》第十四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14:paraId="3FEBC923">
            <w:pPr>
              <w:shd w:val="clear"/>
              <w:jc w:val="left"/>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2.《东莞市机动车停车设施管理办法》第二十九条：“未经合法程序，任何单位和个人不得擅自在街道两侧和公共场地设置地锁、地桩等障碍物或者搭建停车相关建筑物、构筑物及其他设施。”</w:t>
            </w:r>
          </w:p>
        </w:tc>
        <w:tc>
          <w:tcPr>
            <w:tcW w:w="1314" w:type="pct"/>
            <w:gridSpan w:val="2"/>
            <w:vMerge w:val="restart"/>
            <w:shd w:val="clear" w:color="auto" w:fill="auto"/>
            <w:tcMar>
              <w:top w:w="15" w:type="dxa"/>
              <w:left w:w="15" w:type="dxa"/>
              <w:right w:w="15" w:type="dxa"/>
            </w:tcMar>
            <w:vAlign w:val="center"/>
          </w:tcPr>
          <w:p w14:paraId="1CB4EDBC">
            <w:pPr>
              <w:shd w:val="clear"/>
              <w:jc w:val="left"/>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1.《城市市容和环境卫生管理条例》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w:t>
            </w:r>
          </w:p>
          <w:p w14:paraId="28812C82">
            <w:pPr>
              <w:shd w:val="clear"/>
              <w:jc w:val="left"/>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2.《东莞市机动车停车设施管理办法》第五十三条：“违反本办法第二十九规定，擅自在街道两侧和公共场地设置地锁、地桩等障碍物或者搭建停车相关建筑物、构筑物或者其他设施影响市容的，由城市管理综合执法部门责令停止违法行为，限期清理、拆除或者采取其他补救措施，并可以对个人处100元以下罚款，对法人或者其他组织处500元以上5000元以下罚款。”</w:t>
            </w:r>
          </w:p>
        </w:tc>
        <w:tc>
          <w:tcPr>
            <w:tcW w:w="177" w:type="pct"/>
            <w:gridSpan w:val="2"/>
            <w:shd w:val="clear" w:color="auto" w:fill="auto"/>
            <w:tcMar>
              <w:top w:w="15" w:type="dxa"/>
              <w:left w:w="15" w:type="dxa"/>
              <w:right w:w="15" w:type="dxa"/>
            </w:tcMar>
            <w:vAlign w:val="center"/>
          </w:tcPr>
          <w:p w14:paraId="7BF404E2">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0C3C4A33">
            <w:pPr>
              <w:widowControl/>
              <w:shd w:val="clea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擅自设置地锁、地桩等障碍物</w:t>
            </w:r>
            <w:r>
              <w:rPr>
                <w:rFonts w:hint="default" w:ascii="Times New Roman" w:hAnsi="Times New Roman" w:cs="Times New Roman" w:eastAsiaTheme="minorEastAsia"/>
                <w:color w:val="auto"/>
                <w:kern w:val="0"/>
                <w:sz w:val="18"/>
                <w:szCs w:val="18"/>
                <w:highlight w:val="none"/>
                <w:lang w:val="en-US" w:eastAsia="zh-CN"/>
              </w:rPr>
              <w:t>3处以下；</w:t>
            </w:r>
          </w:p>
          <w:p w14:paraId="754BD2CD">
            <w:pPr>
              <w:widowControl/>
              <w:shd w:val="clea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搭建面积5平方米以下</w:t>
            </w:r>
          </w:p>
        </w:tc>
        <w:tc>
          <w:tcPr>
            <w:tcW w:w="545" w:type="pct"/>
            <w:gridSpan w:val="2"/>
            <w:shd w:val="clear" w:color="auto" w:fill="auto"/>
            <w:tcMar>
              <w:top w:w="15" w:type="dxa"/>
              <w:left w:w="15" w:type="dxa"/>
              <w:right w:w="15" w:type="dxa"/>
            </w:tcMar>
            <w:vAlign w:val="center"/>
          </w:tcPr>
          <w:p w14:paraId="08A8CCA0">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可以对个人处</w:t>
            </w:r>
            <w:r>
              <w:rPr>
                <w:rFonts w:hint="default" w:ascii="Times New Roman" w:hAnsi="Times New Roman" w:cs="Times New Roman" w:eastAsiaTheme="minorEastAsia"/>
                <w:color w:val="auto"/>
                <w:kern w:val="0"/>
                <w:sz w:val="18"/>
                <w:szCs w:val="18"/>
                <w:highlight w:val="none"/>
                <w:lang w:val="en-US" w:eastAsia="zh-CN"/>
              </w:rPr>
              <w:t>30元以下罚款，对法人或其他组织处500元以上1850元以下罚款</w:t>
            </w:r>
          </w:p>
        </w:tc>
        <w:tc>
          <w:tcPr>
            <w:tcW w:w="200" w:type="pct"/>
            <w:gridSpan w:val="2"/>
            <w:vMerge w:val="restart"/>
            <w:shd w:val="clear" w:color="auto" w:fill="auto"/>
            <w:tcMar>
              <w:top w:w="15" w:type="dxa"/>
              <w:left w:w="15" w:type="dxa"/>
              <w:right w:w="15" w:type="dxa"/>
            </w:tcMar>
            <w:vAlign w:val="center"/>
          </w:tcPr>
          <w:p w14:paraId="289771A2">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sz w:val="18"/>
                <w:szCs w:val="18"/>
                <w:highlight w:val="none"/>
                <w:lang w:val="en-US" w:eastAsia="zh-CN"/>
              </w:rPr>
              <w:t>责令停止违法行为，限期清理、拆除或者采取其他补救措施</w:t>
            </w:r>
          </w:p>
        </w:tc>
        <w:tc>
          <w:tcPr>
            <w:tcW w:w="390" w:type="pct"/>
            <w:gridSpan w:val="3"/>
            <w:vMerge w:val="restart"/>
            <w:shd w:val="clear" w:color="auto" w:fill="auto"/>
            <w:tcMar>
              <w:top w:w="15" w:type="dxa"/>
              <w:left w:w="15" w:type="dxa"/>
              <w:right w:w="15" w:type="dxa"/>
            </w:tcMar>
            <w:vAlign w:val="center"/>
          </w:tcPr>
          <w:p w14:paraId="7500D1B4">
            <w:pPr>
              <w:shd w:val="clear"/>
              <w:rPr>
                <w:rFonts w:hint="default" w:ascii="Times New Roman" w:hAnsi="Times New Roman" w:cs="Times New Roman" w:eastAsiaTheme="minorEastAsia"/>
                <w:color w:val="auto"/>
                <w:sz w:val="18"/>
                <w:szCs w:val="18"/>
                <w:highlight w:val="none"/>
                <w:lang w:val="en-US" w:eastAsia="zh-CN"/>
              </w:rPr>
            </w:pPr>
          </w:p>
        </w:tc>
      </w:tr>
      <w:tr w14:paraId="75FF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117" w:type="pct"/>
            <w:gridSpan w:val="2"/>
            <w:vMerge w:val="continue"/>
            <w:shd w:val="clear" w:color="auto" w:fill="auto"/>
            <w:tcMar>
              <w:top w:w="15" w:type="dxa"/>
              <w:left w:w="15" w:type="dxa"/>
              <w:right w:w="15" w:type="dxa"/>
            </w:tcMar>
            <w:vAlign w:val="center"/>
          </w:tcPr>
          <w:p w14:paraId="731314D9">
            <w:pPr>
              <w:widowControl/>
              <w:shd w:val="clear"/>
              <w:jc w:val="left"/>
              <w:textAlignment w:val="center"/>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545688CB">
            <w:pPr>
              <w:widowControl/>
              <w:shd w:val="clear"/>
              <w:jc w:val="left"/>
              <w:textAlignment w:val="center"/>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5A1B6347">
            <w:pPr>
              <w:widowControl/>
              <w:shd w:val="clear"/>
              <w:jc w:val="left"/>
              <w:textAlignment w:val="center"/>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539D8A13">
            <w:pPr>
              <w:widowControl/>
              <w:shd w:val="clear"/>
              <w:jc w:val="left"/>
              <w:textAlignment w:val="center"/>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1661662A">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tcMar>
              <w:top w:w="15" w:type="dxa"/>
              <w:left w:w="15" w:type="dxa"/>
              <w:right w:w="15" w:type="dxa"/>
            </w:tcMar>
            <w:vAlign w:val="center"/>
          </w:tcPr>
          <w:p w14:paraId="473B70B1">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擅自设置地锁、地桩等障碍物</w:t>
            </w:r>
            <w:r>
              <w:rPr>
                <w:rFonts w:hint="default" w:ascii="Times New Roman" w:hAnsi="Times New Roman" w:cs="Times New Roman" w:eastAsiaTheme="minorEastAsia"/>
                <w:color w:val="auto"/>
                <w:kern w:val="0"/>
                <w:sz w:val="18"/>
                <w:szCs w:val="18"/>
                <w:highlight w:val="none"/>
                <w:lang w:val="en-US" w:eastAsia="zh-CN"/>
              </w:rPr>
              <w:t>3处以上5处以下；</w:t>
            </w:r>
          </w:p>
          <w:p w14:paraId="5BB23CBE">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搭建面积5平方米以上10平方米以下</w:t>
            </w:r>
          </w:p>
        </w:tc>
        <w:tc>
          <w:tcPr>
            <w:tcW w:w="545" w:type="pct"/>
            <w:gridSpan w:val="2"/>
            <w:shd w:val="clear" w:color="auto" w:fill="auto"/>
            <w:tcMar>
              <w:top w:w="15" w:type="dxa"/>
              <w:left w:w="15" w:type="dxa"/>
              <w:right w:w="15" w:type="dxa"/>
            </w:tcMar>
            <w:vAlign w:val="center"/>
          </w:tcPr>
          <w:p w14:paraId="2AAC2E11">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可以对个人处</w:t>
            </w:r>
            <w:r>
              <w:rPr>
                <w:rFonts w:hint="default" w:ascii="Times New Roman" w:hAnsi="Times New Roman" w:cs="Times New Roman" w:eastAsiaTheme="minorEastAsia"/>
                <w:color w:val="auto"/>
                <w:kern w:val="0"/>
                <w:sz w:val="18"/>
                <w:szCs w:val="18"/>
                <w:highlight w:val="none"/>
                <w:lang w:val="en-US" w:eastAsia="zh-CN"/>
              </w:rPr>
              <w:t>30元以上70元以下罚款，对法人或其他组织处1850元以上3650元以下罚款</w:t>
            </w:r>
          </w:p>
        </w:tc>
        <w:tc>
          <w:tcPr>
            <w:tcW w:w="200" w:type="pct"/>
            <w:gridSpan w:val="2"/>
            <w:vMerge w:val="continue"/>
            <w:shd w:val="clear" w:color="auto" w:fill="auto"/>
            <w:tcMar>
              <w:top w:w="15" w:type="dxa"/>
              <w:left w:w="15" w:type="dxa"/>
              <w:right w:w="15" w:type="dxa"/>
            </w:tcMar>
            <w:vAlign w:val="center"/>
          </w:tcPr>
          <w:p w14:paraId="0208DE37">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13545147">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r>
      <w:tr w14:paraId="1B56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117" w:type="pct"/>
            <w:gridSpan w:val="2"/>
            <w:vMerge w:val="continue"/>
            <w:shd w:val="clear" w:color="auto" w:fill="auto"/>
            <w:tcMar>
              <w:top w:w="15" w:type="dxa"/>
              <w:left w:w="15" w:type="dxa"/>
              <w:right w:w="15" w:type="dxa"/>
            </w:tcMar>
            <w:vAlign w:val="center"/>
          </w:tcPr>
          <w:p w14:paraId="0EC7DAF4">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c>
          <w:tcPr>
            <w:tcW w:w="411" w:type="pct"/>
            <w:gridSpan w:val="2"/>
            <w:vMerge w:val="continue"/>
            <w:shd w:val="clear" w:color="auto" w:fill="auto"/>
            <w:tcMar>
              <w:top w:w="15" w:type="dxa"/>
              <w:left w:w="15" w:type="dxa"/>
              <w:right w:w="15" w:type="dxa"/>
            </w:tcMar>
            <w:vAlign w:val="center"/>
          </w:tcPr>
          <w:p w14:paraId="078AD785">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c>
          <w:tcPr>
            <w:tcW w:w="1310" w:type="pct"/>
            <w:gridSpan w:val="2"/>
            <w:vMerge w:val="continue"/>
            <w:shd w:val="clear" w:color="auto" w:fill="auto"/>
            <w:tcMar>
              <w:top w:w="15" w:type="dxa"/>
              <w:left w:w="15" w:type="dxa"/>
              <w:right w:w="15" w:type="dxa"/>
            </w:tcMar>
            <w:vAlign w:val="center"/>
          </w:tcPr>
          <w:p w14:paraId="4E55E066">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c>
          <w:tcPr>
            <w:tcW w:w="1314" w:type="pct"/>
            <w:gridSpan w:val="2"/>
            <w:vMerge w:val="continue"/>
            <w:shd w:val="clear" w:color="auto" w:fill="auto"/>
            <w:tcMar>
              <w:top w:w="15" w:type="dxa"/>
              <w:left w:w="15" w:type="dxa"/>
              <w:right w:w="15" w:type="dxa"/>
            </w:tcMar>
            <w:vAlign w:val="center"/>
          </w:tcPr>
          <w:p w14:paraId="30E4DD2C">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15236E90">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4A6AA37D">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擅自设置地锁、地桩等障碍物</w:t>
            </w:r>
            <w:r>
              <w:rPr>
                <w:rFonts w:hint="default" w:ascii="Times New Roman" w:hAnsi="Times New Roman" w:cs="Times New Roman" w:eastAsiaTheme="minorEastAsia"/>
                <w:color w:val="auto"/>
                <w:kern w:val="0"/>
                <w:sz w:val="18"/>
                <w:szCs w:val="18"/>
                <w:highlight w:val="none"/>
                <w:lang w:val="en-US" w:eastAsia="zh-CN"/>
              </w:rPr>
              <w:t>5处以上；</w:t>
            </w:r>
          </w:p>
          <w:p w14:paraId="22EC4017">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搭建面积10平方米以上</w:t>
            </w:r>
          </w:p>
        </w:tc>
        <w:tc>
          <w:tcPr>
            <w:tcW w:w="545" w:type="pct"/>
            <w:gridSpan w:val="2"/>
            <w:shd w:val="clear" w:color="auto" w:fill="auto"/>
            <w:tcMar>
              <w:top w:w="15" w:type="dxa"/>
              <w:left w:w="15" w:type="dxa"/>
              <w:right w:w="15" w:type="dxa"/>
            </w:tcMar>
            <w:vAlign w:val="center"/>
          </w:tcPr>
          <w:p w14:paraId="01C5236C">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可以对个人处</w:t>
            </w:r>
            <w:r>
              <w:rPr>
                <w:rFonts w:hint="default" w:ascii="Times New Roman" w:hAnsi="Times New Roman" w:cs="Times New Roman" w:eastAsiaTheme="minorEastAsia"/>
                <w:color w:val="auto"/>
                <w:kern w:val="0"/>
                <w:sz w:val="18"/>
                <w:szCs w:val="18"/>
                <w:highlight w:val="none"/>
                <w:lang w:val="en-US" w:eastAsia="zh-CN"/>
              </w:rPr>
              <w:t>70元以上100元以下罚款，对法人或其他组织处3650元以上5000元以下罚款</w:t>
            </w:r>
          </w:p>
        </w:tc>
        <w:tc>
          <w:tcPr>
            <w:tcW w:w="200" w:type="pct"/>
            <w:gridSpan w:val="2"/>
            <w:vMerge w:val="continue"/>
            <w:shd w:val="clear" w:color="auto" w:fill="auto"/>
            <w:tcMar>
              <w:top w:w="15" w:type="dxa"/>
              <w:left w:w="15" w:type="dxa"/>
              <w:right w:w="15" w:type="dxa"/>
            </w:tcMar>
            <w:vAlign w:val="center"/>
          </w:tcPr>
          <w:p w14:paraId="601EEAE1">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41F06BFC">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r>
      <w:tr w14:paraId="63EB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17" w:type="pct"/>
            <w:gridSpan w:val="2"/>
            <w:shd w:val="clear" w:color="auto" w:fill="auto"/>
            <w:tcMar>
              <w:top w:w="15" w:type="dxa"/>
              <w:left w:w="15" w:type="dxa"/>
              <w:right w:w="15" w:type="dxa"/>
            </w:tcMar>
            <w:vAlign w:val="center"/>
          </w:tcPr>
          <w:p w14:paraId="27E98169">
            <w:pPr>
              <w:shd w:val="clear"/>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68</w:t>
            </w:r>
          </w:p>
        </w:tc>
        <w:tc>
          <w:tcPr>
            <w:tcW w:w="411" w:type="pct"/>
            <w:gridSpan w:val="2"/>
            <w:shd w:val="clear" w:color="auto" w:fill="auto"/>
            <w:tcMar>
              <w:top w:w="15" w:type="dxa"/>
              <w:left w:w="15" w:type="dxa"/>
              <w:right w:w="15" w:type="dxa"/>
            </w:tcMar>
            <w:vAlign w:val="center"/>
          </w:tcPr>
          <w:p w14:paraId="4DBC84C9">
            <w:pPr>
              <w:shd w:val="clear"/>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未按要求提交安全检测报告，逾期未改正的</w:t>
            </w:r>
          </w:p>
        </w:tc>
        <w:tc>
          <w:tcPr>
            <w:tcW w:w="1310" w:type="pct"/>
            <w:gridSpan w:val="2"/>
            <w:shd w:val="clear" w:color="auto" w:fill="auto"/>
            <w:tcMar>
              <w:top w:w="15" w:type="dxa"/>
              <w:left w:w="15" w:type="dxa"/>
              <w:right w:w="15" w:type="dxa"/>
            </w:tcMar>
            <w:vAlign w:val="center"/>
          </w:tcPr>
          <w:p w14:paraId="25302CA9">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《东莞市户外广告设施和招牌设置管理条例》　第三十一条第一款：“大型户外广告设施自设置之日起一年内，设置人应当每年按照相关规定进行安全检测；首次安全检测后，检测报告中载明安全使用期限超出一年的，可按其载明期限确定下次检测时间。设置人应当在完成安全检测之日起七日内向审批部门提交安全检测报告，安全检测不合格，设置人应当立即整修或者拆除。其他户外广告设施和招牌，由设置人自行进行安全检查，并对检查结果负责。”</w:t>
            </w:r>
          </w:p>
        </w:tc>
        <w:tc>
          <w:tcPr>
            <w:tcW w:w="1314" w:type="pct"/>
            <w:gridSpan w:val="2"/>
            <w:shd w:val="clear" w:color="auto" w:fill="auto"/>
            <w:tcMar>
              <w:top w:w="15" w:type="dxa"/>
              <w:left w:w="15" w:type="dxa"/>
              <w:right w:w="15" w:type="dxa"/>
            </w:tcMar>
            <w:vAlign w:val="center"/>
          </w:tcPr>
          <w:p w14:paraId="5EEF9303">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《东莞市户外广告设施和招牌设置管理条例》　第四十四条：“违反本条例第三十一条第一款规定，设置人未按照要求进行安全检测的，由城市管理综合执法部门责令限期改正；逾期未改正的，处以一万元以上五万元以下罚款。未按要求提交安全检测报告的，由城市管理综合执法部门责令限期改正；逾期未改正的，处以五千元罚款。”</w:t>
            </w:r>
          </w:p>
        </w:tc>
        <w:tc>
          <w:tcPr>
            <w:tcW w:w="1455" w:type="pct"/>
            <w:gridSpan w:val="9"/>
            <w:shd w:val="clear" w:color="auto" w:fill="auto"/>
            <w:tcMar>
              <w:top w:w="15" w:type="dxa"/>
              <w:left w:w="15" w:type="dxa"/>
              <w:right w:w="15" w:type="dxa"/>
            </w:tcMar>
            <w:vAlign w:val="center"/>
          </w:tcPr>
          <w:p w14:paraId="60D02F1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责令限期改正；逾期未改正的，处以五千元罚款</w:t>
            </w:r>
          </w:p>
        </w:tc>
        <w:tc>
          <w:tcPr>
            <w:tcW w:w="390" w:type="pct"/>
            <w:gridSpan w:val="3"/>
            <w:shd w:val="clear" w:color="auto" w:fill="auto"/>
            <w:tcMar>
              <w:top w:w="15" w:type="dxa"/>
              <w:left w:w="15" w:type="dxa"/>
              <w:right w:w="15" w:type="dxa"/>
            </w:tcMar>
            <w:vAlign w:val="center"/>
          </w:tcPr>
          <w:p w14:paraId="399ABCDA">
            <w:pPr>
              <w:shd w:val="clear"/>
              <w:rPr>
                <w:rFonts w:hint="default" w:ascii="Times New Roman" w:hAnsi="Times New Roman" w:cs="Times New Roman" w:eastAsiaTheme="minorEastAsia"/>
                <w:color w:val="auto"/>
                <w:sz w:val="18"/>
                <w:szCs w:val="18"/>
                <w:highlight w:val="none"/>
              </w:rPr>
            </w:pPr>
          </w:p>
        </w:tc>
      </w:tr>
      <w:tr w14:paraId="5260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trPr>
        <w:tc>
          <w:tcPr>
            <w:tcW w:w="117" w:type="pct"/>
            <w:gridSpan w:val="2"/>
            <w:shd w:val="clear" w:color="auto" w:fill="auto"/>
            <w:tcMar>
              <w:top w:w="15" w:type="dxa"/>
              <w:left w:w="15" w:type="dxa"/>
              <w:right w:w="15" w:type="dxa"/>
            </w:tcMar>
            <w:vAlign w:val="center"/>
          </w:tcPr>
          <w:p w14:paraId="6F685638">
            <w:pPr>
              <w:shd w:val="clear"/>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69</w:t>
            </w:r>
          </w:p>
        </w:tc>
        <w:tc>
          <w:tcPr>
            <w:tcW w:w="411" w:type="pct"/>
            <w:gridSpan w:val="2"/>
            <w:shd w:val="clear" w:color="auto" w:fill="auto"/>
            <w:tcMar>
              <w:top w:w="15" w:type="dxa"/>
              <w:left w:w="15" w:type="dxa"/>
              <w:right w:w="15" w:type="dxa"/>
            </w:tcMar>
            <w:vAlign w:val="center"/>
          </w:tcPr>
          <w:p w14:paraId="252243ED">
            <w:pPr>
              <w:shd w:val="clear"/>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电动自行车停放影响市容环境的</w:t>
            </w:r>
          </w:p>
        </w:tc>
        <w:tc>
          <w:tcPr>
            <w:tcW w:w="1310" w:type="pct"/>
            <w:gridSpan w:val="2"/>
            <w:shd w:val="clear" w:color="auto" w:fill="auto"/>
            <w:tcMar>
              <w:top w:w="15" w:type="dxa"/>
              <w:left w:w="15" w:type="dxa"/>
              <w:right w:w="15" w:type="dxa"/>
            </w:tcMar>
            <w:vAlign w:val="center"/>
          </w:tcPr>
          <w:p w14:paraId="143958D8">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 xml:space="preserve">《东莞市电动自行车管理条例》第三十六条：“驾驶人应当在划定的地点按照标志、标线停放电动自行车。没有划定停放地点的，电动自行车停放不得影响道路通行和市容环境。” </w:t>
            </w:r>
          </w:p>
        </w:tc>
        <w:tc>
          <w:tcPr>
            <w:tcW w:w="1314" w:type="pct"/>
            <w:gridSpan w:val="2"/>
            <w:shd w:val="clear" w:color="auto" w:fill="auto"/>
            <w:tcMar>
              <w:top w:w="15" w:type="dxa"/>
              <w:left w:w="15" w:type="dxa"/>
              <w:right w:w="15" w:type="dxa"/>
            </w:tcMar>
            <w:vAlign w:val="center"/>
          </w:tcPr>
          <w:p w14:paraId="269F03BF">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东莞市电动自行车管理条例》第四十六条：“违反本条例第三十六条规定，电动自行车停放影响道路通行的，由公安机关交通管理部门责令改正，处警告或者二十元罚款；电动自行车停放影响市容环境的，由城市管理综合执法部门责令改正，处警告或者二十元罚款。”</w:t>
            </w:r>
          </w:p>
        </w:tc>
        <w:tc>
          <w:tcPr>
            <w:tcW w:w="1455" w:type="pct"/>
            <w:gridSpan w:val="9"/>
            <w:shd w:val="clear" w:color="auto" w:fill="auto"/>
            <w:tcMar>
              <w:top w:w="15" w:type="dxa"/>
              <w:left w:w="15" w:type="dxa"/>
              <w:right w:w="15" w:type="dxa"/>
            </w:tcMar>
            <w:vAlign w:val="center"/>
          </w:tcPr>
          <w:p w14:paraId="1F3C1016">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sz w:val="18"/>
                <w:szCs w:val="18"/>
                <w:highlight w:val="none"/>
              </w:rPr>
              <w:t>责令改正，处警告或者二十元罚款</w:t>
            </w:r>
          </w:p>
        </w:tc>
        <w:tc>
          <w:tcPr>
            <w:tcW w:w="390" w:type="pct"/>
            <w:gridSpan w:val="3"/>
            <w:shd w:val="clear" w:color="auto" w:fill="auto"/>
            <w:tcMar>
              <w:top w:w="15" w:type="dxa"/>
              <w:left w:w="15" w:type="dxa"/>
              <w:right w:w="15" w:type="dxa"/>
            </w:tcMar>
            <w:vAlign w:val="center"/>
          </w:tcPr>
          <w:p w14:paraId="2C0431F8">
            <w:pPr>
              <w:shd w:val="clear"/>
              <w:rPr>
                <w:rFonts w:hint="default" w:ascii="Times New Roman" w:hAnsi="Times New Roman" w:cs="Times New Roman" w:eastAsiaTheme="minorEastAsia"/>
                <w:color w:val="auto"/>
                <w:sz w:val="18"/>
                <w:szCs w:val="18"/>
                <w:highlight w:val="none"/>
              </w:rPr>
            </w:pPr>
          </w:p>
        </w:tc>
      </w:tr>
      <w:tr w14:paraId="3FF1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17" w:type="pct"/>
            <w:gridSpan w:val="2"/>
            <w:shd w:val="clear" w:color="auto" w:fill="auto"/>
            <w:tcMar>
              <w:top w:w="15" w:type="dxa"/>
              <w:left w:w="15" w:type="dxa"/>
              <w:right w:w="15" w:type="dxa"/>
            </w:tcMar>
            <w:vAlign w:val="center"/>
          </w:tcPr>
          <w:p w14:paraId="20278526">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bookmarkStart w:id="25" w:name="_Toc1436092760"/>
            <w:bookmarkStart w:id="26" w:name="_Toc31493"/>
            <w:bookmarkStart w:id="27" w:name="_Toc7815"/>
            <w:bookmarkStart w:id="28" w:name="_Toc31927"/>
            <w:bookmarkStart w:id="29" w:name="_Toc6665"/>
            <w:bookmarkStart w:id="30" w:name="_Toc6627"/>
            <w:bookmarkStart w:id="31" w:name="_Toc32268"/>
            <w:bookmarkStart w:id="32" w:name="_Toc22034"/>
            <w:bookmarkStart w:id="33" w:name="_Toc1529212130"/>
            <w:bookmarkStart w:id="34" w:name="_Toc21708"/>
            <w:bookmarkStart w:id="35" w:name="_Toc22317"/>
            <w:r>
              <w:rPr>
                <w:rFonts w:hint="default" w:ascii="Times New Roman" w:hAnsi="Times New Roman" w:cs="Times New Roman" w:eastAsiaTheme="minorEastAsia"/>
                <w:color w:val="auto"/>
                <w:kern w:val="0"/>
                <w:sz w:val="18"/>
                <w:szCs w:val="18"/>
                <w:highlight w:val="none"/>
                <w:lang w:val="en-US" w:eastAsia="zh-CN"/>
              </w:rPr>
              <w:t>70</w:t>
            </w:r>
          </w:p>
        </w:tc>
        <w:tc>
          <w:tcPr>
            <w:tcW w:w="411" w:type="pct"/>
            <w:gridSpan w:val="2"/>
            <w:shd w:val="clear" w:color="auto" w:fill="auto"/>
            <w:tcMar>
              <w:top w:w="15" w:type="dxa"/>
              <w:left w:w="15" w:type="dxa"/>
              <w:right w:w="15" w:type="dxa"/>
            </w:tcMar>
            <w:vAlign w:val="center"/>
          </w:tcPr>
          <w:p w14:paraId="600706B3">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sz w:val="18"/>
                <w:szCs w:val="18"/>
                <w:highlight w:val="none"/>
                <w:lang w:eastAsia="zh-CN"/>
              </w:rPr>
              <w:t>在城市建筑物、设施以及树木上涂写、刻画的</w:t>
            </w:r>
          </w:p>
        </w:tc>
        <w:tc>
          <w:tcPr>
            <w:tcW w:w="1310" w:type="pct"/>
            <w:gridSpan w:val="2"/>
            <w:shd w:val="clear" w:color="auto" w:fill="auto"/>
            <w:tcMar>
              <w:top w:w="15" w:type="dxa"/>
              <w:left w:w="15" w:type="dxa"/>
              <w:right w:w="15" w:type="dxa"/>
            </w:tcMar>
            <w:vAlign w:val="center"/>
          </w:tcPr>
          <w:p w14:paraId="60B93A07">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《城市市容和环境卫生管理条例》第十七条</w:t>
            </w:r>
            <w:r>
              <w:rPr>
                <w:rFonts w:hint="default" w:ascii="Times New Roman" w:hAnsi="Times New Roman" w:cs="Times New Roman" w:eastAsiaTheme="minorEastAsia"/>
                <w:color w:val="auto"/>
                <w:kern w:val="0"/>
                <w:sz w:val="18"/>
                <w:szCs w:val="18"/>
                <w:highlight w:val="none"/>
                <w:lang w:eastAsia="zh-CN"/>
              </w:rPr>
              <w:t>第一款：“</w:t>
            </w:r>
            <w:r>
              <w:rPr>
                <w:rFonts w:hint="default" w:ascii="Times New Roman" w:hAnsi="Times New Roman" w:cs="Times New Roman" w:eastAsiaTheme="minorEastAsia"/>
                <w:color w:val="auto"/>
                <w:kern w:val="0"/>
                <w:sz w:val="18"/>
                <w:szCs w:val="18"/>
                <w:highlight w:val="none"/>
              </w:rPr>
              <w:t>一切单位和个人，都不得在城市建筑物、设施以及树木上涂写、刻画。</w:t>
            </w:r>
            <w:r>
              <w:rPr>
                <w:rFonts w:hint="default" w:ascii="Times New Roman" w:hAnsi="Times New Roman" w:cs="Times New Roman" w:eastAsiaTheme="minorEastAsia"/>
                <w:color w:val="auto"/>
                <w:kern w:val="0"/>
                <w:sz w:val="18"/>
                <w:szCs w:val="18"/>
                <w:highlight w:val="none"/>
                <w:lang w:eastAsia="zh-CN"/>
              </w:rPr>
              <w:t>”</w:t>
            </w:r>
          </w:p>
        </w:tc>
        <w:tc>
          <w:tcPr>
            <w:tcW w:w="1314" w:type="pct"/>
            <w:gridSpan w:val="2"/>
            <w:shd w:val="clear" w:color="auto" w:fill="auto"/>
            <w:tcMar>
              <w:top w:w="15" w:type="dxa"/>
              <w:left w:w="15" w:type="dxa"/>
              <w:right w:w="15" w:type="dxa"/>
            </w:tcMar>
            <w:vAlign w:val="center"/>
          </w:tcPr>
          <w:p w14:paraId="0AEAEFFC">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《城市市容和环境卫生管理条例》</w:t>
            </w:r>
            <w:r>
              <w:rPr>
                <w:rFonts w:hint="default" w:ascii="Times New Roman" w:hAnsi="Times New Roman" w:cs="Times New Roman" w:eastAsiaTheme="minorEastAsia"/>
                <w:color w:val="auto"/>
                <w:kern w:val="0"/>
                <w:sz w:val="18"/>
                <w:szCs w:val="18"/>
                <w:highlight w:val="none"/>
                <w:lang w:eastAsia="zh-CN"/>
              </w:rPr>
              <w:t>第三十四条第一款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w:t>
            </w:r>
          </w:p>
        </w:tc>
        <w:tc>
          <w:tcPr>
            <w:tcW w:w="1455" w:type="pct"/>
            <w:gridSpan w:val="9"/>
            <w:shd w:val="clear" w:color="auto" w:fill="auto"/>
            <w:tcMar>
              <w:top w:w="15" w:type="dxa"/>
              <w:left w:w="15" w:type="dxa"/>
              <w:right w:w="15" w:type="dxa"/>
            </w:tcMar>
            <w:vAlign w:val="center"/>
          </w:tcPr>
          <w:p w14:paraId="6BE1E977">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除责令其纠正违法行为、采取补救措施外，可以并处警告、罚款</w:t>
            </w:r>
          </w:p>
        </w:tc>
        <w:tc>
          <w:tcPr>
            <w:tcW w:w="390" w:type="pct"/>
            <w:gridSpan w:val="3"/>
            <w:shd w:val="clear" w:color="auto" w:fill="auto"/>
            <w:tcMar>
              <w:top w:w="15" w:type="dxa"/>
              <w:left w:w="15" w:type="dxa"/>
              <w:right w:w="15" w:type="dxa"/>
            </w:tcMar>
            <w:vAlign w:val="center"/>
          </w:tcPr>
          <w:p w14:paraId="353E1732">
            <w:pPr>
              <w:shd w:val="clear"/>
              <w:jc w:val="left"/>
              <w:rPr>
                <w:rFonts w:hint="default" w:ascii="Times New Roman" w:hAnsi="Times New Roman" w:cs="Times New Roman" w:eastAsiaTheme="minorEastAsia"/>
                <w:color w:val="auto"/>
                <w:sz w:val="18"/>
                <w:szCs w:val="18"/>
                <w:highlight w:val="none"/>
              </w:rPr>
            </w:pPr>
          </w:p>
        </w:tc>
      </w:tr>
      <w:tr w14:paraId="6841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17" w:type="pct"/>
            <w:gridSpan w:val="2"/>
            <w:shd w:val="clear" w:color="auto" w:fill="auto"/>
            <w:tcMar>
              <w:top w:w="15" w:type="dxa"/>
              <w:left w:w="15" w:type="dxa"/>
              <w:right w:w="15" w:type="dxa"/>
            </w:tcMar>
            <w:vAlign w:val="center"/>
          </w:tcPr>
          <w:p w14:paraId="4B128075">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71</w:t>
            </w:r>
          </w:p>
        </w:tc>
        <w:tc>
          <w:tcPr>
            <w:tcW w:w="411" w:type="pct"/>
            <w:gridSpan w:val="2"/>
            <w:shd w:val="clear" w:color="auto" w:fill="auto"/>
            <w:tcMar>
              <w:top w:w="15" w:type="dxa"/>
              <w:left w:w="15" w:type="dxa"/>
              <w:right w:w="15" w:type="dxa"/>
            </w:tcMar>
            <w:vAlign w:val="center"/>
          </w:tcPr>
          <w:p w14:paraId="6E3D2CF4">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sz w:val="18"/>
                <w:szCs w:val="18"/>
                <w:highlight w:val="none"/>
              </w:rPr>
              <w:t>在城市人民政府规定的街道的临街建筑物的阳台和窗外堆放、吊挂有碍市容的物品</w:t>
            </w:r>
            <w:r>
              <w:rPr>
                <w:rFonts w:hint="default" w:ascii="Times New Roman" w:hAnsi="Times New Roman" w:cs="Times New Roman" w:eastAsiaTheme="minorEastAsia"/>
                <w:color w:val="auto"/>
                <w:sz w:val="18"/>
                <w:szCs w:val="18"/>
                <w:highlight w:val="none"/>
                <w:lang w:eastAsia="zh-CN"/>
              </w:rPr>
              <w:t>的</w:t>
            </w:r>
          </w:p>
        </w:tc>
        <w:tc>
          <w:tcPr>
            <w:tcW w:w="1310" w:type="pct"/>
            <w:gridSpan w:val="2"/>
            <w:shd w:val="clear" w:color="auto" w:fill="auto"/>
            <w:tcMar>
              <w:top w:w="15" w:type="dxa"/>
              <w:left w:w="15" w:type="dxa"/>
              <w:right w:w="15" w:type="dxa"/>
            </w:tcMar>
            <w:vAlign w:val="center"/>
          </w:tcPr>
          <w:p w14:paraId="52FDA491">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《城市市容和环境卫生管理条例》第十条</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一切单位和个人都应当保持建筑物的整洁、美观。在城市人民政府规定的街道的临街建筑物的阳台和窗外，不得堆放、吊挂有碍市容的物品。搭建或者封闭阳台必须符合城市人民政府市容环境卫生行政主管部门的有关规定。</w:t>
            </w:r>
            <w:r>
              <w:rPr>
                <w:rFonts w:hint="default" w:ascii="Times New Roman" w:hAnsi="Times New Roman" w:cs="Times New Roman" w:eastAsiaTheme="minorEastAsia"/>
                <w:color w:val="auto"/>
                <w:kern w:val="0"/>
                <w:sz w:val="18"/>
                <w:szCs w:val="18"/>
                <w:highlight w:val="none"/>
                <w:lang w:eastAsia="zh-CN"/>
              </w:rPr>
              <w:t>”</w:t>
            </w:r>
          </w:p>
        </w:tc>
        <w:tc>
          <w:tcPr>
            <w:tcW w:w="1314" w:type="pct"/>
            <w:gridSpan w:val="2"/>
            <w:shd w:val="clear" w:color="auto" w:fill="auto"/>
            <w:tcMar>
              <w:top w:w="15" w:type="dxa"/>
              <w:left w:w="15" w:type="dxa"/>
              <w:right w:w="15" w:type="dxa"/>
            </w:tcMar>
            <w:vAlign w:val="center"/>
          </w:tcPr>
          <w:p w14:paraId="350A169D">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《城市市容和环境卫生管理条例》第三十四条</w:t>
            </w:r>
            <w:r>
              <w:rPr>
                <w:rFonts w:hint="default" w:ascii="Times New Roman" w:hAnsi="Times New Roman" w:cs="Times New Roman" w:eastAsiaTheme="minorEastAsia"/>
                <w:color w:val="auto"/>
                <w:kern w:val="0"/>
                <w:sz w:val="18"/>
                <w:szCs w:val="18"/>
                <w:highlight w:val="none"/>
                <w:lang w:eastAsia="zh-CN"/>
              </w:rPr>
              <w:t>第一款第（三）项：“</w:t>
            </w:r>
            <w:r>
              <w:rPr>
                <w:rFonts w:hint="default" w:ascii="Times New Roman" w:hAnsi="Times New Roman" w:cs="Times New Roman" w:eastAsiaTheme="minorEastAsia"/>
                <w:color w:val="auto"/>
                <w:kern w:val="0"/>
                <w:sz w:val="18"/>
                <w:szCs w:val="18"/>
                <w:highlight w:val="none"/>
              </w:rPr>
              <w:t>有下列行为之一者，城市人民政府市容环境卫生行政主管部门或者其委托的单位除责令其纠正违法行为、采取补救措施外，可以并处警告、罚款：（三）在城市人民政府规定的街道的临街建筑物的阳台和窗外，堆放、吊挂有碍市容的物品的；</w:t>
            </w:r>
            <w:r>
              <w:rPr>
                <w:rFonts w:hint="default" w:ascii="Times New Roman" w:hAnsi="Times New Roman" w:cs="Times New Roman" w:eastAsiaTheme="minorEastAsia"/>
                <w:color w:val="auto"/>
                <w:kern w:val="0"/>
                <w:sz w:val="18"/>
                <w:szCs w:val="18"/>
                <w:highlight w:val="none"/>
                <w:lang w:eastAsia="zh-CN"/>
              </w:rPr>
              <w:t>”</w:t>
            </w:r>
          </w:p>
        </w:tc>
        <w:tc>
          <w:tcPr>
            <w:tcW w:w="1455" w:type="pct"/>
            <w:gridSpan w:val="9"/>
            <w:shd w:val="clear" w:color="auto" w:fill="auto"/>
            <w:tcMar>
              <w:top w:w="15" w:type="dxa"/>
              <w:left w:w="15" w:type="dxa"/>
              <w:right w:w="15" w:type="dxa"/>
            </w:tcMar>
            <w:vAlign w:val="center"/>
          </w:tcPr>
          <w:p w14:paraId="63081454">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除责令其纠正违法行为、采取补救措施外，可以并处警告、罚款</w:t>
            </w:r>
          </w:p>
        </w:tc>
        <w:tc>
          <w:tcPr>
            <w:tcW w:w="390" w:type="pct"/>
            <w:gridSpan w:val="3"/>
            <w:shd w:val="clear" w:color="auto" w:fill="auto"/>
            <w:tcMar>
              <w:top w:w="15" w:type="dxa"/>
              <w:left w:w="15" w:type="dxa"/>
              <w:right w:w="15" w:type="dxa"/>
            </w:tcMar>
            <w:vAlign w:val="center"/>
          </w:tcPr>
          <w:p w14:paraId="5FDD86CC">
            <w:pPr>
              <w:shd w:val="clear"/>
              <w:jc w:val="left"/>
              <w:rPr>
                <w:rFonts w:hint="default" w:ascii="Times New Roman" w:hAnsi="Times New Roman" w:cs="Times New Roman" w:eastAsiaTheme="minorEastAsia"/>
                <w:color w:val="auto"/>
                <w:sz w:val="18"/>
                <w:szCs w:val="18"/>
                <w:highlight w:val="none"/>
              </w:rPr>
            </w:pPr>
          </w:p>
        </w:tc>
      </w:tr>
      <w:tr w14:paraId="41F1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17" w:type="pct"/>
            <w:gridSpan w:val="2"/>
            <w:shd w:val="clear" w:color="auto" w:fill="auto"/>
            <w:tcMar>
              <w:top w:w="15" w:type="dxa"/>
              <w:left w:w="15" w:type="dxa"/>
              <w:right w:w="15" w:type="dxa"/>
            </w:tcMar>
            <w:vAlign w:val="center"/>
          </w:tcPr>
          <w:p w14:paraId="236AD7BF">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72</w:t>
            </w:r>
          </w:p>
        </w:tc>
        <w:tc>
          <w:tcPr>
            <w:tcW w:w="411" w:type="pct"/>
            <w:gridSpan w:val="2"/>
            <w:shd w:val="clear" w:color="auto" w:fill="auto"/>
            <w:tcMar>
              <w:top w:w="15" w:type="dxa"/>
              <w:left w:w="15" w:type="dxa"/>
              <w:right w:w="15" w:type="dxa"/>
            </w:tcMar>
            <w:vAlign w:val="center"/>
          </w:tcPr>
          <w:p w14:paraId="28F36145">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临街工地不设置护栏或者不作遮挡、停工场地不及时整理并作必要覆盖或者竣工后不及时清理和平整场地，影响市容和环境卫生的</w:t>
            </w:r>
          </w:p>
        </w:tc>
        <w:tc>
          <w:tcPr>
            <w:tcW w:w="1310" w:type="pct"/>
            <w:gridSpan w:val="2"/>
            <w:shd w:val="clear" w:color="auto" w:fill="auto"/>
            <w:tcMar>
              <w:top w:w="15" w:type="dxa"/>
              <w:left w:w="15" w:type="dxa"/>
              <w:right w:w="15" w:type="dxa"/>
            </w:tcMar>
            <w:vAlign w:val="center"/>
          </w:tcPr>
          <w:p w14:paraId="0F82E876">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《城市市容和环境卫生管理条例》第十六条</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城市的工程施工现场的材料、机具应当堆放整齐，渣土应当及时清运；临街工地应当设置护栏或者围布遮挡；停工场地应当及时整理并作必要的覆盖；竣工后，应当及时清理和平整场地。</w:t>
            </w:r>
            <w:r>
              <w:rPr>
                <w:rFonts w:hint="default" w:ascii="Times New Roman" w:hAnsi="Times New Roman" w:cs="Times New Roman" w:eastAsiaTheme="minorEastAsia"/>
                <w:color w:val="auto"/>
                <w:kern w:val="0"/>
                <w:sz w:val="18"/>
                <w:szCs w:val="18"/>
                <w:highlight w:val="none"/>
                <w:lang w:eastAsia="zh-CN"/>
              </w:rPr>
              <w:t>”</w:t>
            </w:r>
          </w:p>
        </w:tc>
        <w:tc>
          <w:tcPr>
            <w:tcW w:w="1314" w:type="pct"/>
            <w:gridSpan w:val="2"/>
            <w:shd w:val="clear" w:color="auto" w:fill="auto"/>
            <w:tcMar>
              <w:top w:w="15" w:type="dxa"/>
              <w:left w:w="15" w:type="dxa"/>
              <w:right w:w="15" w:type="dxa"/>
            </w:tcMar>
            <w:vAlign w:val="center"/>
          </w:tcPr>
          <w:p w14:paraId="5F0CFEEC">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《城市市容和环境卫生管理条例》</w:t>
            </w:r>
            <w:r>
              <w:rPr>
                <w:rFonts w:hint="default" w:ascii="Times New Roman" w:hAnsi="Times New Roman" w:cs="Times New Roman" w:eastAsiaTheme="minorEastAsia"/>
                <w:color w:val="auto"/>
                <w:kern w:val="0"/>
                <w:sz w:val="18"/>
                <w:szCs w:val="18"/>
                <w:highlight w:val="none"/>
                <w:lang w:eastAsia="zh-CN"/>
              </w:rPr>
              <w:t>第三十四条第一款第（七）项：“第三十四条　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w:t>
            </w:r>
          </w:p>
        </w:tc>
        <w:tc>
          <w:tcPr>
            <w:tcW w:w="1455" w:type="pct"/>
            <w:gridSpan w:val="9"/>
            <w:shd w:val="clear" w:color="auto" w:fill="auto"/>
            <w:tcMar>
              <w:top w:w="15" w:type="dxa"/>
              <w:left w:w="15" w:type="dxa"/>
              <w:right w:w="15" w:type="dxa"/>
            </w:tcMar>
            <w:vAlign w:val="center"/>
          </w:tcPr>
          <w:p w14:paraId="74829C92">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除责令其纠正违法行为、采取补救措施外，可以并处警告、罚款</w:t>
            </w:r>
          </w:p>
        </w:tc>
        <w:tc>
          <w:tcPr>
            <w:tcW w:w="390" w:type="pct"/>
            <w:gridSpan w:val="3"/>
            <w:shd w:val="clear" w:color="auto" w:fill="auto"/>
            <w:tcMar>
              <w:top w:w="15" w:type="dxa"/>
              <w:left w:w="15" w:type="dxa"/>
              <w:right w:w="15" w:type="dxa"/>
            </w:tcMar>
            <w:vAlign w:val="center"/>
          </w:tcPr>
          <w:p w14:paraId="0C028C9C">
            <w:pPr>
              <w:shd w:val="clear"/>
              <w:jc w:val="left"/>
              <w:rPr>
                <w:rFonts w:hint="default" w:ascii="Times New Roman" w:hAnsi="Times New Roman" w:cs="Times New Roman" w:eastAsiaTheme="minorEastAsia"/>
                <w:color w:val="auto"/>
                <w:sz w:val="18"/>
                <w:szCs w:val="18"/>
                <w:highlight w:val="none"/>
              </w:rPr>
            </w:pPr>
          </w:p>
        </w:tc>
      </w:tr>
      <w:tr w14:paraId="3436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17" w:type="pct"/>
            <w:gridSpan w:val="2"/>
            <w:shd w:val="clear" w:color="auto" w:fill="auto"/>
            <w:tcMar>
              <w:top w:w="15" w:type="dxa"/>
              <w:left w:w="15" w:type="dxa"/>
              <w:right w:w="15" w:type="dxa"/>
            </w:tcMar>
            <w:vAlign w:val="center"/>
          </w:tcPr>
          <w:p w14:paraId="7CF6745F">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73</w:t>
            </w:r>
          </w:p>
        </w:tc>
        <w:tc>
          <w:tcPr>
            <w:tcW w:w="411" w:type="pct"/>
            <w:gridSpan w:val="2"/>
            <w:shd w:val="clear" w:color="auto" w:fill="auto"/>
            <w:tcMar>
              <w:top w:w="15" w:type="dxa"/>
              <w:left w:w="15" w:type="dxa"/>
              <w:right w:w="15" w:type="dxa"/>
            </w:tcMar>
            <w:vAlign w:val="center"/>
          </w:tcPr>
          <w:p w14:paraId="297ACB11">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strike w:val="0"/>
                <w:color w:val="auto"/>
                <w:kern w:val="0"/>
                <w:sz w:val="18"/>
                <w:szCs w:val="18"/>
                <w:highlight w:val="none"/>
                <w:lang w:eastAsia="zh-CN"/>
              </w:rPr>
              <w:t>未经城市人民政府市容环境卫生行政主管部门批准，擅自在街道两侧和公共场地堆放物料，搭建建筑物、构筑物或者其他设施，影响市容的</w:t>
            </w:r>
          </w:p>
        </w:tc>
        <w:tc>
          <w:tcPr>
            <w:tcW w:w="1310" w:type="pct"/>
            <w:gridSpan w:val="2"/>
            <w:shd w:val="clear" w:color="auto" w:fill="auto"/>
            <w:tcMar>
              <w:top w:w="15" w:type="dxa"/>
              <w:left w:w="15" w:type="dxa"/>
              <w:right w:w="15" w:type="dxa"/>
            </w:tcMar>
            <w:vAlign w:val="center"/>
          </w:tcPr>
          <w:p w14:paraId="0194A4BB">
            <w:pPr>
              <w:widowControl/>
              <w:shd w:val="clear"/>
              <w:jc w:val="left"/>
              <w:textAlignment w:val="center"/>
              <w:rPr>
                <w:rFonts w:hint="default" w:ascii="Times New Roman" w:hAnsi="Times New Roman" w:cs="Times New Roman" w:eastAsiaTheme="minorEastAsia"/>
                <w:strike w:val="0"/>
                <w:color w:val="auto"/>
                <w:kern w:val="0"/>
                <w:sz w:val="18"/>
                <w:szCs w:val="18"/>
                <w:highlight w:val="none"/>
                <w:lang w:eastAsia="zh-CN"/>
              </w:rPr>
            </w:pPr>
            <w:r>
              <w:rPr>
                <w:rFonts w:hint="default" w:ascii="Times New Roman" w:hAnsi="Times New Roman" w:cs="Times New Roman" w:eastAsiaTheme="minorEastAsia"/>
                <w:strike w:val="0"/>
                <w:color w:val="auto"/>
                <w:kern w:val="0"/>
                <w:sz w:val="18"/>
                <w:szCs w:val="18"/>
                <w:highlight w:val="none"/>
                <w:lang w:eastAsia="zh-CN"/>
              </w:rPr>
              <w:t>《城市市容和环境卫生管理条例》第十四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tc>
        <w:tc>
          <w:tcPr>
            <w:tcW w:w="1314" w:type="pct"/>
            <w:gridSpan w:val="2"/>
            <w:shd w:val="clear" w:color="auto" w:fill="auto"/>
            <w:tcMar>
              <w:top w:w="15" w:type="dxa"/>
              <w:left w:w="15" w:type="dxa"/>
              <w:right w:w="15" w:type="dxa"/>
            </w:tcMar>
            <w:vAlign w:val="center"/>
          </w:tcPr>
          <w:p w14:paraId="2C7C6330">
            <w:pPr>
              <w:widowControl/>
              <w:shd w:val="clear"/>
              <w:jc w:val="left"/>
              <w:textAlignment w:val="center"/>
              <w:rPr>
                <w:rFonts w:hint="default" w:ascii="Times New Roman" w:hAnsi="Times New Roman" w:cs="Times New Roman" w:eastAsiaTheme="minorEastAsia"/>
                <w:strike w:val="0"/>
                <w:color w:val="auto"/>
                <w:kern w:val="0"/>
                <w:sz w:val="18"/>
                <w:szCs w:val="18"/>
                <w:highlight w:val="none"/>
                <w:lang w:eastAsia="zh-CN"/>
              </w:rPr>
            </w:pPr>
            <w:r>
              <w:rPr>
                <w:rFonts w:hint="default" w:ascii="Times New Roman" w:hAnsi="Times New Roman" w:cs="Times New Roman" w:eastAsiaTheme="minorEastAsia"/>
                <w:strike w:val="0"/>
                <w:color w:val="auto"/>
                <w:kern w:val="0"/>
                <w:sz w:val="18"/>
                <w:szCs w:val="18"/>
                <w:highlight w:val="none"/>
                <w:lang w:eastAsia="zh-CN"/>
              </w:rPr>
              <w:t>《城市市容和环境卫生管理条例》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w:t>
            </w:r>
          </w:p>
        </w:tc>
        <w:tc>
          <w:tcPr>
            <w:tcW w:w="1455" w:type="pct"/>
            <w:gridSpan w:val="9"/>
            <w:shd w:val="clear" w:color="auto" w:fill="auto"/>
            <w:tcMar>
              <w:top w:w="15" w:type="dxa"/>
              <w:left w:w="15" w:type="dxa"/>
              <w:right w:w="15" w:type="dxa"/>
            </w:tcMar>
            <w:vAlign w:val="center"/>
          </w:tcPr>
          <w:p w14:paraId="01C8A232">
            <w:pPr>
              <w:widowControl/>
              <w:shd w:val="clear"/>
              <w:jc w:val="left"/>
              <w:textAlignment w:val="center"/>
              <w:rPr>
                <w:rFonts w:hint="default" w:ascii="Times New Roman" w:hAnsi="Times New Roman" w:cs="Times New Roman" w:eastAsiaTheme="minorEastAsia"/>
                <w:strike w:val="0"/>
                <w:color w:val="auto"/>
                <w:kern w:val="0"/>
                <w:sz w:val="18"/>
                <w:szCs w:val="18"/>
                <w:highlight w:val="none"/>
              </w:rPr>
            </w:pPr>
            <w:r>
              <w:rPr>
                <w:rFonts w:hint="default" w:ascii="Times New Roman" w:hAnsi="Times New Roman" w:cs="Times New Roman" w:eastAsiaTheme="minorEastAsia"/>
                <w:strike w:val="0"/>
                <w:color w:val="auto"/>
                <w:kern w:val="0"/>
                <w:sz w:val="18"/>
                <w:szCs w:val="18"/>
                <w:highlight w:val="none"/>
                <w:lang w:eastAsia="zh-CN"/>
              </w:rPr>
              <w:t>责令其停止违法行为，限期清理、拆除或者采取其他补救措施，并可处以罚款</w:t>
            </w:r>
          </w:p>
        </w:tc>
        <w:tc>
          <w:tcPr>
            <w:tcW w:w="390" w:type="pct"/>
            <w:gridSpan w:val="3"/>
            <w:shd w:val="clear" w:color="auto" w:fill="auto"/>
            <w:tcMar>
              <w:top w:w="15" w:type="dxa"/>
              <w:left w:w="15" w:type="dxa"/>
              <w:right w:w="15" w:type="dxa"/>
            </w:tcMar>
            <w:vAlign w:val="center"/>
          </w:tcPr>
          <w:p w14:paraId="2012FE40">
            <w:pPr>
              <w:shd w:val="clear"/>
              <w:jc w:val="left"/>
              <w:rPr>
                <w:rFonts w:hint="default" w:ascii="Times New Roman" w:hAnsi="Times New Roman" w:cs="Times New Roman" w:eastAsiaTheme="minorEastAsia"/>
                <w:color w:val="auto"/>
                <w:sz w:val="18"/>
                <w:szCs w:val="18"/>
                <w:highlight w:val="none"/>
              </w:rPr>
            </w:pPr>
          </w:p>
        </w:tc>
      </w:tr>
      <w:tr w14:paraId="761F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17" w:type="pct"/>
            <w:gridSpan w:val="2"/>
            <w:shd w:val="clear" w:color="auto" w:fill="auto"/>
            <w:tcMar>
              <w:top w:w="15" w:type="dxa"/>
              <w:left w:w="15" w:type="dxa"/>
              <w:right w:w="15" w:type="dxa"/>
            </w:tcMar>
            <w:vAlign w:val="center"/>
          </w:tcPr>
          <w:p w14:paraId="74FDA5D3">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74</w:t>
            </w:r>
          </w:p>
        </w:tc>
        <w:tc>
          <w:tcPr>
            <w:tcW w:w="411" w:type="pct"/>
            <w:gridSpan w:val="2"/>
            <w:shd w:val="clear" w:color="auto" w:fill="auto"/>
            <w:tcMar>
              <w:top w:w="15" w:type="dxa"/>
              <w:left w:w="15" w:type="dxa"/>
              <w:right w:w="15" w:type="dxa"/>
            </w:tcMar>
            <w:vAlign w:val="center"/>
          </w:tcPr>
          <w:p w14:paraId="1467E329">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sz w:val="18"/>
                <w:szCs w:val="18"/>
                <w:highlight w:val="none"/>
                <w:lang w:eastAsia="zh-CN"/>
              </w:rPr>
              <w:t>城市中的建筑物或者环境卫生设施不符合城市容貌标准、环境卫生标准逾期未改造或者未拆除的</w:t>
            </w:r>
          </w:p>
        </w:tc>
        <w:tc>
          <w:tcPr>
            <w:tcW w:w="1310" w:type="pct"/>
            <w:gridSpan w:val="2"/>
            <w:shd w:val="clear" w:color="auto" w:fill="auto"/>
            <w:tcMar>
              <w:top w:w="15" w:type="dxa"/>
              <w:left w:w="15" w:type="dxa"/>
              <w:right w:w="15" w:type="dxa"/>
            </w:tcMar>
            <w:vAlign w:val="center"/>
          </w:tcPr>
          <w:p w14:paraId="60CC8FE7">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strike w:val="0"/>
                <w:color w:val="auto"/>
                <w:kern w:val="0"/>
                <w:sz w:val="18"/>
                <w:szCs w:val="18"/>
                <w:highlight w:val="none"/>
              </w:rPr>
              <w:t>《城市市容和环境卫生管理条例》第十八条：“城市中的环境卫生设施，应当符合国家规定的城市环境卫生标准。”</w:t>
            </w:r>
          </w:p>
        </w:tc>
        <w:tc>
          <w:tcPr>
            <w:tcW w:w="1314" w:type="pct"/>
            <w:gridSpan w:val="2"/>
            <w:shd w:val="clear" w:color="auto" w:fill="auto"/>
            <w:tcMar>
              <w:top w:w="15" w:type="dxa"/>
              <w:left w:w="15" w:type="dxa"/>
              <w:right w:w="15" w:type="dxa"/>
            </w:tcMar>
            <w:vAlign w:val="center"/>
          </w:tcPr>
          <w:p w14:paraId="2B04766F">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strike w:val="0"/>
                <w:color w:val="auto"/>
                <w:kern w:val="0"/>
                <w:sz w:val="18"/>
                <w:szCs w:val="18"/>
                <w:highlight w:val="none"/>
              </w:rPr>
              <w:t>《城市市容和环境卫生管理条例》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tc>
        <w:tc>
          <w:tcPr>
            <w:tcW w:w="1455" w:type="pct"/>
            <w:gridSpan w:val="9"/>
            <w:shd w:val="clear" w:color="auto" w:fill="auto"/>
            <w:tcMar>
              <w:top w:w="15" w:type="dxa"/>
              <w:left w:w="15" w:type="dxa"/>
              <w:right w:w="15" w:type="dxa"/>
            </w:tcMar>
            <w:vAlign w:val="center"/>
          </w:tcPr>
          <w:p w14:paraId="6601950D">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strike w:val="0"/>
                <w:color w:val="auto"/>
                <w:kern w:val="0"/>
                <w:sz w:val="18"/>
                <w:szCs w:val="18"/>
                <w:highlight w:val="none"/>
              </w:rPr>
              <w:t>经县级以上人民政府批准，组织强制拆除，并可处以罚款</w:t>
            </w:r>
          </w:p>
        </w:tc>
        <w:tc>
          <w:tcPr>
            <w:tcW w:w="390" w:type="pct"/>
            <w:gridSpan w:val="3"/>
            <w:shd w:val="clear" w:color="auto" w:fill="auto"/>
            <w:tcMar>
              <w:top w:w="15" w:type="dxa"/>
              <w:left w:w="15" w:type="dxa"/>
              <w:right w:w="15" w:type="dxa"/>
            </w:tcMar>
            <w:vAlign w:val="center"/>
          </w:tcPr>
          <w:p w14:paraId="15820E6F">
            <w:pPr>
              <w:shd w:val="clear"/>
              <w:jc w:val="left"/>
              <w:rPr>
                <w:rFonts w:hint="default" w:ascii="Times New Roman" w:hAnsi="Times New Roman" w:cs="Times New Roman" w:eastAsiaTheme="minorEastAsia"/>
                <w:color w:val="auto"/>
                <w:sz w:val="18"/>
                <w:szCs w:val="18"/>
                <w:highlight w:val="none"/>
              </w:rPr>
            </w:pPr>
          </w:p>
        </w:tc>
      </w:tr>
      <w:tr w14:paraId="0A86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17" w:type="pct"/>
            <w:gridSpan w:val="2"/>
            <w:shd w:val="clear" w:color="auto" w:fill="auto"/>
            <w:tcMar>
              <w:top w:w="15" w:type="dxa"/>
              <w:left w:w="15" w:type="dxa"/>
              <w:right w:w="15" w:type="dxa"/>
            </w:tcMar>
            <w:vAlign w:val="center"/>
          </w:tcPr>
          <w:p w14:paraId="34CD897C">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bookmarkStart w:id="36" w:name="_Toc1435212451"/>
            <w:bookmarkStart w:id="37" w:name="_Toc985748391"/>
            <w:bookmarkStart w:id="38" w:name="_Toc953991454"/>
            <w:bookmarkStart w:id="39" w:name="_Toc334370043"/>
            <w:bookmarkStart w:id="40" w:name="_Toc683854685"/>
            <w:r>
              <w:rPr>
                <w:rFonts w:hint="default" w:ascii="Times New Roman" w:hAnsi="Times New Roman" w:cs="Times New Roman" w:eastAsiaTheme="minorEastAsia"/>
                <w:color w:val="auto"/>
                <w:kern w:val="0"/>
                <w:sz w:val="18"/>
                <w:szCs w:val="18"/>
                <w:highlight w:val="none"/>
                <w:lang w:val="en-US" w:eastAsia="zh-CN"/>
              </w:rPr>
              <w:t>75</w:t>
            </w:r>
          </w:p>
        </w:tc>
        <w:tc>
          <w:tcPr>
            <w:tcW w:w="411" w:type="pct"/>
            <w:gridSpan w:val="2"/>
            <w:shd w:val="clear" w:color="auto" w:fill="auto"/>
            <w:tcMar>
              <w:top w:w="15" w:type="dxa"/>
              <w:left w:w="15" w:type="dxa"/>
              <w:right w:w="15" w:type="dxa"/>
            </w:tcMar>
            <w:vAlign w:val="center"/>
          </w:tcPr>
          <w:p w14:paraId="0FFB0189">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strike w:val="0"/>
                <w:color w:val="auto"/>
                <w:kern w:val="0"/>
                <w:sz w:val="18"/>
                <w:szCs w:val="18"/>
                <w:highlight w:val="none"/>
              </w:rPr>
              <w:t>未经批准从事城市生活垃圾经营性清扫、收集、运输或者处置活动的</w:t>
            </w:r>
          </w:p>
        </w:tc>
        <w:tc>
          <w:tcPr>
            <w:tcW w:w="1310" w:type="pct"/>
            <w:gridSpan w:val="2"/>
            <w:shd w:val="clear" w:color="auto" w:fill="auto"/>
            <w:tcMar>
              <w:top w:w="15" w:type="dxa"/>
              <w:left w:w="15" w:type="dxa"/>
              <w:right w:w="15" w:type="dxa"/>
            </w:tcMar>
            <w:vAlign w:val="center"/>
          </w:tcPr>
          <w:p w14:paraId="0ADFD05E">
            <w:pPr>
              <w:widowControl/>
              <w:shd w:val="clear"/>
              <w:jc w:val="left"/>
              <w:textAlignment w:val="center"/>
              <w:rPr>
                <w:rFonts w:hint="default" w:ascii="Times New Roman" w:hAnsi="Times New Roman" w:cs="Times New Roman" w:eastAsiaTheme="minorEastAsia"/>
                <w:strike w:val="0"/>
                <w:color w:val="auto"/>
                <w:kern w:val="0"/>
                <w:sz w:val="18"/>
                <w:szCs w:val="18"/>
                <w:highlight w:val="none"/>
                <w:lang w:eastAsia="zh-CN"/>
              </w:rPr>
            </w:pPr>
            <w:r>
              <w:rPr>
                <w:rFonts w:hint="default" w:ascii="Times New Roman" w:hAnsi="Times New Roman" w:cs="Times New Roman" w:eastAsiaTheme="minorEastAsia"/>
                <w:strike w:val="0"/>
                <w:color w:val="auto"/>
                <w:kern w:val="0"/>
                <w:sz w:val="18"/>
                <w:szCs w:val="18"/>
                <w:highlight w:val="none"/>
                <w:lang w:eastAsia="zh-CN"/>
              </w:rPr>
              <w:t>《城市生活垃圾管理办法》第十七条：“从事城市生活垃圾经营性清扫、收集、运输的企业，应当取得城市生活垃圾经营性清扫、收集、运输服务许可证。未取得城市生活垃圾经营性清扫、收集、运输服务许可证的企业，不得从事城市生活垃圾经营性清扫、收集、运输活动。”第二十五条：“从事城市生活垃圾经营性处置的企业，应当向所在地直辖市、市、县人民政府建设（环境卫生）主管部门取得城市生活垃圾经营性处置服务许可证。未取得城市生活垃圾经营性处置服务许可证，不得从事城市生活垃圾经营性处置活动。”</w:t>
            </w:r>
          </w:p>
        </w:tc>
        <w:tc>
          <w:tcPr>
            <w:tcW w:w="1314" w:type="pct"/>
            <w:gridSpan w:val="2"/>
            <w:shd w:val="clear" w:color="auto" w:fill="auto"/>
            <w:tcMar>
              <w:top w:w="15" w:type="dxa"/>
              <w:left w:w="15" w:type="dxa"/>
              <w:right w:w="15" w:type="dxa"/>
            </w:tcMar>
            <w:vAlign w:val="center"/>
          </w:tcPr>
          <w:p w14:paraId="54D26A79">
            <w:pPr>
              <w:widowControl/>
              <w:shd w:val="clear"/>
              <w:jc w:val="left"/>
              <w:textAlignment w:val="center"/>
              <w:rPr>
                <w:rFonts w:hint="default" w:ascii="Times New Roman" w:hAnsi="Times New Roman" w:cs="Times New Roman" w:eastAsiaTheme="minorEastAsia"/>
                <w:strike w:val="0"/>
                <w:color w:val="auto"/>
                <w:kern w:val="0"/>
                <w:sz w:val="18"/>
                <w:szCs w:val="18"/>
                <w:highlight w:val="none"/>
                <w:lang w:eastAsia="zh-CN"/>
              </w:rPr>
            </w:pPr>
            <w:r>
              <w:rPr>
                <w:rFonts w:hint="default" w:ascii="Times New Roman" w:hAnsi="Times New Roman" w:cs="Times New Roman" w:eastAsiaTheme="minorEastAsia"/>
                <w:strike w:val="0"/>
                <w:color w:val="auto"/>
                <w:kern w:val="0"/>
                <w:sz w:val="18"/>
                <w:szCs w:val="18"/>
                <w:highlight w:val="none"/>
                <w:lang w:eastAsia="zh-CN"/>
              </w:rPr>
              <w:t>《城市生活垃圾管理办法》</w:t>
            </w:r>
            <w:r>
              <w:rPr>
                <w:rFonts w:hint="default" w:ascii="Times New Roman" w:hAnsi="Times New Roman" w:cs="Times New Roman" w:eastAsiaTheme="minorEastAsia"/>
                <w:strike w:val="0"/>
                <w:color w:val="auto"/>
                <w:kern w:val="0"/>
                <w:sz w:val="18"/>
                <w:szCs w:val="18"/>
                <w:highlight w:val="none"/>
              </w:rPr>
              <w:t>第四十三条</w:t>
            </w:r>
            <w:r>
              <w:rPr>
                <w:rFonts w:hint="default" w:ascii="Times New Roman" w:hAnsi="Times New Roman" w:cs="Times New Roman" w:eastAsiaTheme="minorEastAsia"/>
                <w:strike w:val="0"/>
                <w:color w:val="auto"/>
                <w:kern w:val="0"/>
                <w:sz w:val="18"/>
                <w:szCs w:val="18"/>
                <w:highlight w:val="none"/>
                <w:lang w:eastAsia="zh-CN"/>
              </w:rPr>
              <w:t>：“</w:t>
            </w:r>
            <w:r>
              <w:rPr>
                <w:rFonts w:hint="default" w:ascii="Times New Roman" w:hAnsi="Times New Roman" w:cs="Times New Roman" w:eastAsiaTheme="minorEastAsia"/>
                <w:strike w:val="0"/>
                <w:color w:val="auto"/>
                <w:kern w:val="0"/>
                <w:sz w:val="18"/>
                <w:szCs w:val="18"/>
                <w:highlight w:val="none"/>
              </w:rPr>
              <w:t>违反本办法第十七条、第二十五条规定，未经批准从事城市生活垃圾经营性清扫、收集、运输或者处置活动的，由直辖市、市、县人民政府建设（环境卫生）主管部门责令停止违法行为，并处以3万元的罚款。</w:t>
            </w:r>
            <w:r>
              <w:rPr>
                <w:rFonts w:hint="default" w:ascii="Times New Roman" w:hAnsi="Times New Roman" w:cs="Times New Roman" w:eastAsiaTheme="minorEastAsia"/>
                <w:strike w:val="0"/>
                <w:color w:val="auto"/>
                <w:kern w:val="0"/>
                <w:sz w:val="18"/>
                <w:szCs w:val="18"/>
                <w:highlight w:val="none"/>
                <w:lang w:eastAsia="zh-CN"/>
              </w:rPr>
              <w:t>”</w:t>
            </w:r>
          </w:p>
        </w:tc>
        <w:tc>
          <w:tcPr>
            <w:tcW w:w="1455" w:type="pct"/>
            <w:gridSpan w:val="9"/>
            <w:shd w:val="clear" w:color="auto" w:fill="auto"/>
            <w:tcMar>
              <w:top w:w="15" w:type="dxa"/>
              <w:left w:w="15" w:type="dxa"/>
              <w:right w:w="15" w:type="dxa"/>
            </w:tcMar>
            <w:vAlign w:val="center"/>
          </w:tcPr>
          <w:p w14:paraId="62C437B2">
            <w:pPr>
              <w:widowControl/>
              <w:shd w:val="clear"/>
              <w:jc w:val="left"/>
              <w:textAlignment w:val="center"/>
              <w:rPr>
                <w:rFonts w:hint="default" w:ascii="Times New Roman" w:hAnsi="Times New Roman" w:cs="Times New Roman" w:eastAsiaTheme="minorEastAsia"/>
                <w:strike w:val="0"/>
                <w:color w:val="auto"/>
                <w:kern w:val="0"/>
                <w:sz w:val="18"/>
                <w:szCs w:val="18"/>
                <w:highlight w:val="none"/>
              </w:rPr>
            </w:pPr>
            <w:r>
              <w:rPr>
                <w:rFonts w:hint="default" w:ascii="Times New Roman" w:hAnsi="Times New Roman" w:cs="Times New Roman" w:eastAsiaTheme="minorEastAsia"/>
                <w:strike w:val="0"/>
                <w:color w:val="auto"/>
                <w:kern w:val="0"/>
                <w:sz w:val="18"/>
                <w:szCs w:val="18"/>
                <w:highlight w:val="none"/>
              </w:rPr>
              <w:t>由直辖市、市、县人民政府建设（环境卫生）主管部门责令停止违法行为，并处以3万元的罚款</w:t>
            </w:r>
          </w:p>
        </w:tc>
        <w:tc>
          <w:tcPr>
            <w:tcW w:w="390" w:type="pct"/>
            <w:gridSpan w:val="3"/>
            <w:shd w:val="clear" w:color="auto" w:fill="auto"/>
            <w:tcMar>
              <w:top w:w="15" w:type="dxa"/>
              <w:left w:w="15" w:type="dxa"/>
              <w:right w:w="15" w:type="dxa"/>
            </w:tcMar>
            <w:vAlign w:val="center"/>
          </w:tcPr>
          <w:p w14:paraId="244F9189">
            <w:pPr>
              <w:shd w:val="clear"/>
              <w:jc w:val="left"/>
              <w:rPr>
                <w:rFonts w:hint="default" w:ascii="Times New Roman" w:hAnsi="Times New Roman" w:cs="Times New Roman" w:eastAsiaTheme="minorEastAsia"/>
                <w:color w:val="auto"/>
                <w:sz w:val="18"/>
                <w:szCs w:val="18"/>
                <w:highlight w:val="none"/>
              </w:rPr>
            </w:pPr>
          </w:p>
        </w:tc>
      </w:tr>
      <w:tr w14:paraId="520B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5000" w:type="pct"/>
            <w:gridSpan w:val="20"/>
            <w:shd w:val="clear" w:color="auto" w:fill="auto"/>
            <w:tcMar>
              <w:top w:w="15" w:type="dxa"/>
              <w:left w:w="15" w:type="dxa"/>
              <w:right w:w="15" w:type="dxa"/>
            </w:tcMar>
            <w:vAlign w:val="center"/>
          </w:tcPr>
          <w:p w14:paraId="5D225357">
            <w:pPr>
              <w:pStyle w:val="2"/>
              <w:shd w:val="clear"/>
              <w:rPr>
                <w:rFonts w:hint="default" w:ascii="Times New Roman" w:hAnsi="Times New Roman" w:cs="Times New Roman" w:eastAsiaTheme="minorEastAsia"/>
                <w:color w:val="auto"/>
                <w:szCs w:val="18"/>
                <w:highlight w:val="none"/>
              </w:rPr>
            </w:pPr>
            <w:bookmarkStart w:id="41" w:name="_Toc2130286110"/>
            <w:bookmarkStart w:id="42" w:name="_Toc1072015315"/>
            <w:bookmarkStart w:id="43" w:name="_Toc1451910369"/>
            <w:bookmarkStart w:id="44" w:name="_Toc1699941665"/>
            <w:bookmarkStart w:id="45" w:name="_Toc690363028"/>
            <w:bookmarkStart w:id="46" w:name="_Toc985502920"/>
            <w:bookmarkStart w:id="47" w:name="_Toc1027318290"/>
            <w:bookmarkStart w:id="48" w:name="_Toc1031166387"/>
            <w:r>
              <w:rPr>
                <w:rFonts w:hint="default" w:ascii="Times New Roman" w:hAnsi="Times New Roman" w:eastAsiaTheme="minorEastAsia" w:cstheme="minorBidi"/>
                <w:kern w:val="2"/>
                <w:sz w:val="21"/>
                <w:szCs w:val="24"/>
                <w:lang w:val="en-US" w:eastAsia="zh-CN" w:bidi="ar-SA"/>
              </w:rPr>
              <w:t>二、生态环境管理（第76项-第95项，共20项）</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tc>
      </w:tr>
      <w:tr w14:paraId="5423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17" w:type="pct"/>
            <w:gridSpan w:val="2"/>
            <w:vMerge w:val="restart"/>
            <w:shd w:val="clear" w:color="auto" w:fill="auto"/>
            <w:tcMar>
              <w:top w:w="15" w:type="dxa"/>
              <w:left w:w="15" w:type="dxa"/>
              <w:right w:w="15" w:type="dxa"/>
            </w:tcMar>
            <w:vAlign w:val="center"/>
          </w:tcPr>
          <w:p w14:paraId="21948F7E">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76</w:t>
            </w:r>
          </w:p>
        </w:tc>
        <w:tc>
          <w:tcPr>
            <w:tcW w:w="411" w:type="pct"/>
            <w:gridSpan w:val="2"/>
            <w:vMerge w:val="restart"/>
            <w:shd w:val="clear" w:color="auto" w:fill="auto"/>
            <w:tcMar>
              <w:top w:w="15" w:type="dxa"/>
              <w:left w:w="15" w:type="dxa"/>
              <w:right w:w="15" w:type="dxa"/>
            </w:tcMar>
            <w:vAlign w:val="center"/>
          </w:tcPr>
          <w:p w14:paraId="39CE4A34">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sz w:val="18"/>
                <w:szCs w:val="18"/>
                <w:highlight w:val="none"/>
                <w:lang w:eastAsia="zh-CN"/>
              </w:rPr>
              <w:t>以拒绝进入现场等方式拒不接受监督检查，或者在接受监督检查时弄虚作假的</w:t>
            </w:r>
          </w:p>
        </w:tc>
        <w:tc>
          <w:tcPr>
            <w:tcW w:w="1310" w:type="pct"/>
            <w:gridSpan w:val="2"/>
            <w:vMerge w:val="restart"/>
            <w:shd w:val="clear" w:color="auto" w:fill="auto"/>
            <w:tcMar>
              <w:top w:w="15" w:type="dxa"/>
              <w:left w:w="15" w:type="dxa"/>
              <w:right w:w="15" w:type="dxa"/>
            </w:tcMar>
            <w:vAlign w:val="center"/>
          </w:tcPr>
          <w:p w14:paraId="31ECC71A">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中华人民共和国大气污染防治法》第二十九条：“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tc>
        <w:tc>
          <w:tcPr>
            <w:tcW w:w="1314" w:type="pct"/>
            <w:gridSpan w:val="2"/>
            <w:vMerge w:val="restart"/>
            <w:shd w:val="clear" w:color="auto" w:fill="auto"/>
            <w:tcMar>
              <w:top w:w="15" w:type="dxa"/>
              <w:left w:w="15" w:type="dxa"/>
              <w:right w:w="15" w:type="dxa"/>
            </w:tcMar>
            <w:vAlign w:val="center"/>
          </w:tcPr>
          <w:p w14:paraId="6D52735D">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中华人民共和国大气污染防治法》第九十八条：“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tc>
        <w:tc>
          <w:tcPr>
            <w:tcW w:w="177" w:type="pct"/>
            <w:gridSpan w:val="2"/>
            <w:shd w:val="clear" w:color="auto" w:fill="auto"/>
            <w:tcMar>
              <w:top w:w="15" w:type="dxa"/>
              <w:left w:w="15" w:type="dxa"/>
              <w:right w:w="15" w:type="dxa"/>
            </w:tcMar>
            <w:vAlign w:val="center"/>
          </w:tcPr>
          <w:p w14:paraId="66C6A108">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3BB63076">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初次被查处</w:t>
            </w:r>
          </w:p>
        </w:tc>
        <w:tc>
          <w:tcPr>
            <w:tcW w:w="545" w:type="pct"/>
            <w:gridSpan w:val="2"/>
            <w:shd w:val="clear" w:color="auto" w:fill="auto"/>
            <w:tcMar>
              <w:top w:w="15" w:type="dxa"/>
              <w:left w:w="15" w:type="dxa"/>
              <w:right w:w="15" w:type="dxa"/>
            </w:tcMar>
            <w:vAlign w:val="center"/>
          </w:tcPr>
          <w:p w14:paraId="1D485657">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处2万元以上7.4万元以下罚款</w:t>
            </w:r>
          </w:p>
        </w:tc>
        <w:tc>
          <w:tcPr>
            <w:tcW w:w="200" w:type="pct"/>
            <w:gridSpan w:val="2"/>
            <w:vMerge w:val="restart"/>
            <w:shd w:val="clear" w:color="auto" w:fill="auto"/>
            <w:tcMar>
              <w:top w:w="15" w:type="dxa"/>
              <w:left w:w="15" w:type="dxa"/>
              <w:right w:w="15" w:type="dxa"/>
            </w:tcMar>
            <w:vAlign w:val="center"/>
          </w:tcPr>
          <w:p w14:paraId="5A0579E7">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责令改正；</w:t>
            </w:r>
            <w:r>
              <w:rPr>
                <w:rFonts w:hint="default" w:ascii="Times New Roman" w:hAnsi="Times New Roman" w:cs="Times New Roman" w:eastAsiaTheme="minorEastAsia"/>
                <w:color w:val="auto"/>
                <w:sz w:val="18"/>
                <w:szCs w:val="18"/>
                <w:highlight w:val="none"/>
                <w:lang w:val="en-US" w:eastAsia="zh-CN"/>
              </w:rPr>
              <w:t>构成违反治安管理行为的，由公安机关依法予以处罚</w:t>
            </w:r>
          </w:p>
        </w:tc>
        <w:tc>
          <w:tcPr>
            <w:tcW w:w="390" w:type="pct"/>
            <w:gridSpan w:val="3"/>
            <w:vMerge w:val="restart"/>
            <w:shd w:val="clear" w:color="auto" w:fill="auto"/>
            <w:tcMar>
              <w:top w:w="15" w:type="dxa"/>
              <w:left w:w="15" w:type="dxa"/>
              <w:right w:w="15" w:type="dxa"/>
            </w:tcMar>
            <w:vAlign w:val="center"/>
          </w:tcPr>
          <w:p w14:paraId="727B3C45">
            <w:pPr>
              <w:shd w:val="clear"/>
              <w:jc w:val="left"/>
              <w:rPr>
                <w:rFonts w:hint="default" w:ascii="Times New Roman" w:hAnsi="Times New Roman" w:cs="Times New Roman" w:eastAsiaTheme="minorEastAsia"/>
                <w:color w:val="auto"/>
                <w:sz w:val="18"/>
                <w:szCs w:val="18"/>
                <w:highlight w:val="none"/>
                <w:lang w:val="en-US" w:eastAsia="zh-CN"/>
              </w:rPr>
            </w:pPr>
          </w:p>
        </w:tc>
      </w:tr>
      <w:tr w14:paraId="5D11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17" w:type="pct"/>
            <w:gridSpan w:val="2"/>
            <w:vMerge w:val="continue"/>
            <w:shd w:val="clear" w:color="auto" w:fill="auto"/>
            <w:tcMar>
              <w:top w:w="15" w:type="dxa"/>
              <w:left w:w="15" w:type="dxa"/>
              <w:right w:w="15" w:type="dxa"/>
            </w:tcMar>
            <w:vAlign w:val="center"/>
          </w:tcPr>
          <w:p w14:paraId="3D47A3AF">
            <w:pPr>
              <w:shd w:val="clear"/>
              <w:jc w:val="left"/>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557EC7BA">
            <w:pPr>
              <w:shd w:val="clear"/>
              <w:jc w:val="left"/>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1072EEEC">
            <w:pPr>
              <w:shd w:val="clear"/>
              <w:jc w:val="left"/>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4C695BA2">
            <w:pPr>
              <w:shd w:val="clear"/>
              <w:jc w:val="left"/>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01D120B3">
            <w:pPr>
              <w:shd w:val="clear"/>
              <w:jc w:val="left"/>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tcMar>
              <w:top w:w="15" w:type="dxa"/>
              <w:left w:w="15" w:type="dxa"/>
              <w:right w:w="15" w:type="dxa"/>
            </w:tcMar>
            <w:vAlign w:val="center"/>
          </w:tcPr>
          <w:p w14:paraId="433BA658">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2</w:t>
            </w:r>
            <w:r>
              <w:rPr>
                <w:rFonts w:hint="default" w:ascii="Times New Roman" w:hAnsi="Times New Roman" w:cs="Times New Roman" w:eastAsiaTheme="minorEastAsia"/>
                <w:color w:val="auto"/>
                <w:kern w:val="0"/>
                <w:sz w:val="18"/>
                <w:szCs w:val="18"/>
                <w:highlight w:val="none"/>
                <w:lang w:eastAsia="zh-CN"/>
              </w:rPr>
              <w:t>次被查处</w:t>
            </w:r>
          </w:p>
        </w:tc>
        <w:tc>
          <w:tcPr>
            <w:tcW w:w="545" w:type="pct"/>
            <w:gridSpan w:val="2"/>
            <w:shd w:val="clear" w:color="auto" w:fill="auto"/>
            <w:tcMar>
              <w:top w:w="15" w:type="dxa"/>
              <w:left w:w="15" w:type="dxa"/>
              <w:right w:w="15" w:type="dxa"/>
            </w:tcMar>
            <w:vAlign w:val="center"/>
          </w:tcPr>
          <w:p w14:paraId="2F49B620">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处7.4万元以上14.6万元以下罚款</w:t>
            </w:r>
          </w:p>
        </w:tc>
        <w:tc>
          <w:tcPr>
            <w:tcW w:w="200" w:type="pct"/>
            <w:gridSpan w:val="2"/>
            <w:vMerge w:val="continue"/>
            <w:shd w:val="clear" w:color="auto" w:fill="auto"/>
            <w:tcMar>
              <w:top w:w="15" w:type="dxa"/>
              <w:left w:w="15" w:type="dxa"/>
              <w:right w:w="15" w:type="dxa"/>
            </w:tcMar>
            <w:vAlign w:val="center"/>
          </w:tcPr>
          <w:p w14:paraId="17C7A45D">
            <w:pPr>
              <w:shd w:val="clear"/>
              <w:jc w:val="left"/>
              <w:rPr>
                <w:rFonts w:hint="default" w:ascii="Times New Roman" w:hAnsi="Times New Roman" w:cs="Times New Roman" w:eastAsiaTheme="minorEastAsia"/>
                <w:color w:val="auto"/>
                <w:kern w:val="0"/>
                <w:sz w:val="18"/>
                <w:szCs w:val="18"/>
                <w:highlight w:val="none"/>
                <w:lang w:eastAsia="zh-CN"/>
              </w:rPr>
            </w:pPr>
          </w:p>
        </w:tc>
        <w:tc>
          <w:tcPr>
            <w:tcW w:w="390" w:type="pct"/>
            <w:gridSpan w:val="3"/>
            <w:vMerge w:val="continue"/>
            <w:shd w:val="clear" w:color="auto" w:fill="auto"/>
            <w:tcMar>
              <w:top w:w="15" w:type="dxa"/>
              <w:left w:w="15" w:type="dxa"/>
              <w:right w:w="15" w:type="dxa"/>
            </w:tcMar>
            <w:vAlign w:val="center"/>
          </w:tcPr>
          <w:p w14:paraId="15835927">
            <w:pPr>
              <w:shd w:val="clear"/>
              <w:jc w:val="left"/>
              <w:rPr>
                <w:rFonts w:hint="default" w:ascii="Times New Roman" w:hAnsi="Times New Roman" w:cs="Times New Roman" w:eastAsiaTheme="minorEastAsia"/>
                <w:color w:val="auto"/>
                <w:kern w:val="0"/>
                <w:sz w:val="18"/>
                <w:szCs w:val="18"/>
                <w:highlight w:val="none"/>
                <w:lang w:eastAsia="zh-CN"/>
              </w:rPr>
            </w:pPr>
          </w:p>
        </w:tc>
      </w:tr>
      <w:tr w14:paraId="4FD4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17" w:type="pct"/>
            <w:gridSpan w:val="2"/>
            <w:vMerge w:val="continue"/>
            <w:shd w:val="clear" w:color="auto" w:fill="auto"/>
            <w:tcMar>
              <w:top w:w="15" w:type="dxa"/>
              <w:left w:w="15" w:type="dxa"/>
              <w:right w:w="15" w:type="dxa"/>
            </w:tcMar>
            <w:vAlign w:val="center"/>
          </w:tcPr>
          <w:p w14:paraId="549C481B">
            <w:pPr>
              <w:shd w:val="clear"/>
              <w:jc w:val="left"/>
              <w:rPr>
                <w:rFonts w:hint="default" w:ascii="Times New Roman" w:hAnsi="Times New Roman" w:cs="Times New Roman" w:eastAsiaTheme="minorEastAsia"/>
                <w:color w:val="auto"/>
                <w:kern w:val="0"/>
                <w:sz w:val="18"/>
                <w:szCs w:val="18"/>
                <w:highlight w:val="none"/>
                <w:lang w:eastAsia="zh-CN"/>
              </w:rPr>
            </w:pPr>
          </w:p>
        </w:tc>
        <w:tc>
          <w:tcPr>
            <w:tcW w:w="411" w:type="pct"/>
            <w:gridSpan w:val="2"/>
            <w:vMerge w:val="continue"/>
            <w:shd w:val="clear" w:color="auto" w:fill="auto"/>
            <w:tcMar>
              <w:top w:w="15" w:type="dxa"/>
              <w:left w:w="15" w:type="dxa"/>
              <w:right w:w="15" w:type="dxa"/>
            </w:tcMar>
            <w:vAlign w:val="center"/>
          </w:tcPr>
          <w:p w14:paraId="717A90D9">
            <w:pPr>
              <w:shd w:val="clear"/>
              <w:jc w:val="left"/>
              <w:rPr>
                <w:rFonts w:hint="default" w:ascii="Times New Roman" w:hAnsi="Times New Roman" w:cs="Times New Roman" w:eastAsiaTheme="minorEastAsia"/>
                <w:color w:val="auto"/>
                <w:kern w:val="0"/>
                <w:sz w:val="18"/>
                <w:szCs w:val="18"/>
                <w:highlight w:val="none"/>
                <w:lang w:eastAsia="zh-CN"/>
              </w:rPr>
            </w:pPr>
          </w:p>
        </w:tc>
        <w:tc>
          <w:tcPr>
            <w:tcW w:w="1310" w:type="pct"/>
            <w:gridSpan w:val="2"/>
            <w:vMerge w:val="continue"/>
            <w:shd w:val="clear" w:color="auto" w:fill="auto"/>
            <w:tcMar>
              <w:top w:w="15" w:type="dxa"/>
              <w:left w:w="15" w:type="dxa"/>
              <w:right w:w="15" w:type="dxa"/>
            </w:tcMar>
            <w:vAlign w:val="center"/>
          </w:tcPr>
          <w:p w14:paraId="3B9A2ABF">
            <w:pPr>
              <w:shd w:val="clear"/>
              <w:jc w:val="left"/>
              <w:rPr>
                <w:rFonts w:hint="default" w:ascii="Times New Roman" w:hAnsi="Times New Roman" w:cs="Times New Roman" w:eastAsiaTheme="minorEastAsia"/>
                <w:color w:val="auto"/>
                <w:kern w:val="0"/>
                <w:sz w:val="18"/>
                <w:szCs w:val="18"/>
                <w:highlight w:val="none"/>
                <w:lang w:eastAsia="zh-CN"/>
              </w:rPr>
            </w:pPr>
          </w:p>
        </w:tc>
        <w:tc>
          <w:tcPr>
            <w:tcW w:w="1314" w:type="pct"/>
            <w:gridSpan w:val="2"/>
            <w:vMerge w:val="continue"/>
            <w:shd w:val="clear" w:color="auto" w:fill="auto"/>
            <w:tcMar>
              <w:top w:w="15" w:type="dxa"/>
              <w:left w:w="15" w:type="dxa"/>
              <w:right w:w="15" w:type="dxa"/>
            </w:tcMar>
            <w:vAlign w:val="center"/>
          </w:tcPr>
          <w:p w14:paraId="2E952893">
            <w:pPr>
              <w:shd w:val="clear"/>
              <w:jc w:val="left"/>
              <w:rPr>
                <w:rFonts w:hint="default" w:ascii="Times New Roman" w:hAnsi="Times New Roman" w:cs="Times New Roman" w:eastAsiaTheme="minorEastAsia"/>
                <w:color w:val="auto"/>
                <w:kern w:val="0"/>
                <w:sz w:val="18"/>
                <w:szCs w:val="18"/>
                <w:highlight w:val="none"/>
                <w:lang w:eastAsia="zh-CN"/>
              </w:rPr>
            </w:pPr>
          </w:p>
        </w:tc>
        <w:tc>
          <w:tcPr>
            <w:tcW w:w="177" w:type="pct"/>
            <w:gridSpan w:val="2"/>
            <w:shd w:val="clear" w:color="auto" w:fill="auto"/>
            <w:tcMar>
              <w:top w:w="15" w:type="dxa"/>
              <w:left w:w="15" w:type="dxa"/>
              <w:right w:w="15" w:type="dxa"/>
            </w:tcMar>
            <w:vAlign w:val="center"/>
          </w:tcPr>
          <w:p w14:paraId="2293EDDC">
            <w:pPr>
              <w:shd w:val="clear"/>
              <w:jc w:val="left"/>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19899D24">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被查处次数</w:t>
            </w:r>
            <w:r>
              <w:rPr>
                <w:rFonts w:hint="default" w:ascii="Times New Roman" w:hAnsi="Times New Roman" w:cs="Times New Roman" w:eastAsiaTheme="minorEastAsia"/>
                <w:color w:val="auto"/>
                <w:kern w:val="0"/>
                <w:sz w:val="18"/>
                <w:szCs w:val="18"/>
                <w:highlight w:val="none"/>
                <w:lang w:val="en-US" w:eastAsia="zh-CN"/>
              </w:rPr>
              <w:t>3次以上；</w:t>
            </w:r>
          </w:p>
          <w:p w14:paraId="7A5EA8F6">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造成执法人员人身伤害、证据资料灭失；</w:t>
            </w:r>
          </w:p>
          <w:p w14:paraId="1BC2E876">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引发网络舆情事件、群体性事件等影响社会稳定</w:t>
            </w:r>
          </w:p>
        </w:tc>
        <w:tc>
          <w:tcPr>
            <w:tcW w:w="545" w:type="pct"/>
            <w:gridSpan w:val="2"/>
            <w:shd w:val="clear" w:color="auto" w:fill="auto"/>
            <w:tcMar>
              <w:top w:w="15" w:type="dxa"/>
              <w:left w:w="15" w:type="dxa"/>
              <w:right w:w="15" w:type="dxa"/>
            </w:tcMar>
            <w:vAlign w:val="center"/>
          </w:tcPr>
          <w:p w14:paraId="4AE4D9B8">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处14.6万元以上20万元以下罚款</w:t>
            </w:r>
          </w:p>
        </w:tc>
        <w:tc>
          <w:tcPr>
            <w:tcW w:w="200" w:type="pct"/>
            <w:gridSpan w:val="2"/>
            <w:vMerge w:val="continue"/>
            <w:shd w:val="clear" w:color="auto" w:fill="auto"/>
            <w:tcMar>
              <w:top w:w="15" w:type="dxa"/>
              <w:left w:w="15" w:type="dxa"/>
              <w:right w:w="15" w:type="dxa"/>
            </w:tcMar>
            <w:vAlign w:val="center"/>
          </w:tcPr>
          <w:p w14:paraId="67323163">
            <w:pPr>
              <w:shd w:val="clear"/>
              <w:jc w:val="left"/>
              <w:rPr>
                <w:rFonts w:hint="default" w:ascii="Times New Roman" w:hAnsi="Times New Roman" w:cs="Times New Roman" w:eastAsiaTheme="minorEastAsia"/>
                <w:color w:val="auto"/>
                <w:kern w:val="0"/>
                <w:sz w:val="18"/>
                <w:szCs w:val="18"/>
                <w:highlight w:val="none"/>
                <w:lang w:eastAsia="zh-CN"/>
              </w:rPr>
            </w:pPr>
          </w:p>
        </w:tc>
        <w:tc>
          <w:tcPr>
            <w:tcW w:w="390" w:type="pct"/>
            <w:gridSpan w:val="3"/>
            <w:vMerge w:val="continue"/>
            <w:shd w:val="clear" w:color="auto" w:fill="auto"/>
            <w:tcMar>
              <w:top w:w="15" w:type="dxa"/>
              <w:left w:w="15" w:type="dxa"/>
              <w:right w:w="15" w:type="dxa"/>
            </w:tcMar>
            <w:vAlign w:val="center"/>
          </w:tcPr>
          <w:p w14:paraId="6C05A4FC">
            <w:pPr>
              <w:shd w:val="clear"/>
              <w:jc w:val="left"/>
              <w:rPr>
                <w:rFonts w:hint="default" w:ascii="Times New Roman" w:hAnsi="Times New Roman" w:cs="Times New Roman" w:eastAsiaTheme="minorEastAsia"/>
                <w:color w:val="auto"/>
                <w:kern w:val="0"/>
                <w:sz w:val="18"/>
                <w:szCs w:val="18"/>
                <w:highlight w:val="none"/>
                <w:lang w:eastAsia="zh-CN"/>
              </w:rPr>
            </w:pPr>
          </w:p>
        </w:tc>
      </w:tr>
      <w:tr w14:paraId="2AE0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trPr>
        <w:tc>
          <w:tcPr>
            <w:tcW w:w="117" w:type="pct"/>
            <w:gridSpan w:val="2"/>
            <w:vMerge w:val="restart"/>
            <w:shd w:val="clear" w:color="auto" w:fill="auto"/>
            <w:tcMar>
              <w:top w:w="15" w:type="dxa"/>
              <w:left w:w="15" w:type="dxa"/>
              <w:right w:w="15" w:type="dxa"/>
            </w:tcMar>
            <w:vAlign w:val="center"/>
          </w:tcPr>
          <w:p w14:paraId="6BF62041">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77</w:t>
            </w:r>
          </w:p>
        </w:tc>
        <w:tc>
          <w:tcPr>
            <w:tcW w:w="411" w:type="pct"/>
            <w:gridSpan w:val="2"/>
            <w:vMerge w:val="restart"/>
            <w:shd w:val="clear" w:color="auto" w:fill="auto"/>
            <w:tcMar>
              <w:top w:w="15" w:type="dxa"/>
              <w:left w:w="15" w:type="dxa"/>
              <w:right w:w="15" w:type="dxa"/>
            </w:tcMar>
            <w:vAlign w:val="center"/>
          </w:tcPr>
          <w:p w14:paraId="71C4C7BA">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sz w:val="18"/>
                <w:szCs w:val="18"/>
                <w:highlight w:val="none"/>
                <w:lang w:eastAsia="zh-CN"/>
              </w:rPr>
              <w:t>排放油烟的餐饮服务业经营者未安装油烟净化设施、不正常使用油烟净化设施或者未采取其他油烟净化措施，超过排放标准排放油烟的</w:t>
            </w:r>
          </w:p>
        </w:tc>
        <w:tc>
          <w:tcPr>
            <w:tcW w:w="1310" w:type="pct"/>
            <w:gridSpan w:val="2"/>
            <w:vMerge w:val="restart"/>
            <w:shd w:val="clear" w:color="auto" w:fill="auto"/>
            <w:tcMar>
              <w:top w:w="15" w:type="dxa"/>
              <w:left w:w="15" w:type="dxa"/>
              <w:right w:w="15" w:type="dxa"/>
            </w:tcMar>
            <w:vAlign w:val="center"/>
          </w:tcPr>
          <w:p w14:paraId="00F75B5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eastAsia="zh-CN"/>
              </w:rPr>
              <w:t>《中华人民共和国大气污染防治法》第八十一条</w:t>
            </w:r>
            <w:r>
              <w:rPr>
                <w:rFonts w:hint="default" w:ascii="Times New Roman" w:hAnsi="Times New Roman" w:cs="Times New Roman" w:eastAsiaTheme="minorEastAsia"/>
                <w:color w:val="auto"/>
                <w:sz w:val="18"/>
                <w:szCs w:val="18"/>
                <w:highlight w:val="none"/>
                <w:lang w:val="en-US" w:eastAsia="zh-CN"/>
              </w:rPr>
              <w:t>第一款</w:t>
            </w:r>
            <w:r>
              <w:rPr>
                <w:rFonts w:hint="default" w:ascii="Times New Roman" w:hAnsi="Times New Roman" w:cs="Times New Roman" w:eastAsiaTheme="minorEastAsia"/>
                <w:color w:val="auto"/>
                <w:sz w:val="18"/>
                <w:szCs w:val="18"/>
                <w:highlight w:val="none"/>
                <w:lang w:eastAsia="zh-CN"/>
              </w:rPr>
              <w:t>：“排放油烟的餐饮服务业经营者应当安装油烟净化设施并保持正常使用，或者采取其他油烟净化措施，使油烟达标排放，并防止对附近居民的正常生活环境造成污染。”</w:t>
            </w:r>
          </w:p>
        </w:tc>
        <w:tc>
          <w:tcPr>
            <w:tcW w:w="1314" w:type="pct"/>
            <w:gridSpan w:val="2"/>
            <w:vMerge w:val="restart"/>
            <w:shd w:val="clear" w:color="auto" w:fill="auto"/>
            <w:tcMar>
              <w:top w:w="15" w:type="dxa"/>
              <w:left w:w="15" w:type="dxa"/>
              <w:right w:w="15" w:type="dxa"/>
            </w:tcMar>
            <w:vAlign w:val="center"/>
          </w:tcPr>
          <w:p w14:paraId="5226BC4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eastAsia="zh-CN"/>
              </w:rPr>
              <w:t>《中华人民共和国大气污染防治法》</w:t>
            </w:r>
            <w:r>
              <w:rPr>
                <w:rFonts w:hint="default" w:ascii="Times New Roman" w:hAnsi="Times New Roman" w:cs="Times New Roman" w:eastAsiaTheme="minorEastAsia"/>
                <w:color w:val="auto"/>
                <w:sz w:val="18"/>
                <w:szCs w:val="18"/>
                <w:highlight w:val="none"/>
                <w:lang w:val="en-US" w:eastAsia="zh-CN"/>
              </w:rPr>
              <w:t xml:space="preserve"> </w:t>
            </w:r>
            <w:r>
              <w:rPr>
                <w:rFonts w:hint="default" w:ascii="Times New Roman" w:hAnsi="Times New Roman" w:cs="Times New Roman" w:eastAsiaTheme="minorEastAsia"/>
                <w:color w:val="auto"/>
                <w:sz w:val="18"/>
                <w:szCs w:val="18"/>
                <w:highlight w:val="none"/>
                <w:lang w:eastAsia="zh-CN"/>
              </w:rPr>
              <w:t>第一百一十八条</w:t>
            </w:r>
            <w:r>
              <w:rPr>
                <w:rFonts w:hint="default" w:ascii="Times New Roman" w:hAnsi="Times New Roman" w:cs="Times New Roman" w:eastAsiaTheme="minorEastAsia"/>
                <w:color w:val="auto"/>
                <w:sz w:val="18"/>
                <w:szCs w:val="18"/>
                <w:highlight w:val="none"/>
                <w:lang w:val="en-US" w:eastAsia="zh-CN"/>
              </w:rPr>
              <w:t>第一款</w:t>
            </w:r>
            <w:r>
              <w:rPr>
                <w:rFonts w:hint="default" w:ascii="Times New Roman" w:hAnsi="Times New Roman" w:cs="Times New Roman" w:eastAsiaTheme="minorEastAsia"/>
                <w:color w:val="auto"/>
                <w:sz w:val="18"/>
                <w:szCs w:val="18"/>
                <w:highlight w:val="none"/>
                <w:lang w:eastAsia="zh-CN"/>
              </w:rPr>
              <w:t>：“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tc>
        <w:tc>
          <w:tcPr>
            <w:tcW w:w="177" w:type="pct"/>
            <w:gridSpan w:val="2"/>
            <w:shd w:val="clear" w:color="auto" w:fill="auto"/>
            <w:tcMar>
              <w:top w:w="15" w:type="dxa"/>
              <w:left w:w="15" w:type="dxa"/>
              <w:right w:w="15" w:type="dxa"/>
            </w:tcMar>
            <w:vAlign w:val="center"/>
          </w:tcPr>
          <w:p w14:paraId="42D79553">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6EBFD492">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经营面积</w:t>
            </w:r>
            <w:r>
              <w:rPr>
                <w:rFonts w:hint="default" w:ascii="Times New Roman" w:hAnsi="Times New Roman" w:cs="Times New Roman" w:eastAsiaTheme="minorEastAsia"/>
                <w:color w:val="auto"/>
                <w:kern w:val="0"/>
                <w:sz w:val="18"/>
                <w:szCs w:val="18"/>
                <w:highlight w:val="none"/>
                <w:lang w:val="en-US" w:eastAsia="zh-CN"/>
              </w:rPr>
              <w:t>100平方米以下；</w:t>
            </w:r>
          </w:p>
          <w:p w14:paraId="25800AEE">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超标1倍以下</w:t>
            </w:r>
          </w:p>
        </w:tc>
        <w:tc>
          <w:tcPr>
            <w:tcW w:w="545" w:type="pct"/>
            <w:gridSpan w:val="2"/>
            <w:shd w:val="clear" w:color="auto" w:fill="auto"/>
            <w:tcMar>
              <w:top w:w="15" w:type="dxa"/>
              <w:left w:w="15" w:type="dxa"/>
              <w:right w:w="15" w:type="dxa"/>
            </w:tcMar>
            <w:vAlign w:val="center"/>
          </w:tcPr>
          <w:p w14:paraId="07DDF432">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处5000元以上</w:t>
            </w:r>
            <w:r>
              <w:rPr>
                <w:rFonts w:hint="default" w:ascii="Times New Roman" w:hAnsi="Times New Roman" w:cs="Times New Roman" w:eastAsiaTheme="minorEastAsia"/>
                <w:color w:val="auto"/>
                <w:kern w:val="0"/>
                <w:sz w:val="18"/>
                <w:szCs w:val="18"/>
                <w:highlight w:val="none"/>
                <w:lang w:val="en-US" w:eastAsia="zh-CN"/>
              </w:rPr>
              <w:t>1.85万</w:t>
            </w:r>
            <w:r>
              <w:rPr>
                <w:rFonts w:hint="default" w:ascii="Times New Roman" w:hAnsi="Times New Roman" w:cs="Times New Roman" w:eastAsiaTheme="minorEastAsia"/>
                <w:color w:val="auto"/>
                <w:kern w:val="0"/>
                <w:sz w:val="18"/>
                <w:szCs w:val="18"/>
                <w:highlight w:val="none"/>
              </w:rPr>
              <w:t>元以下罚款，拒不改正的，责令停业整顿</w:t>
            </w:r>
          </w:p>
        </w:tc>
        <w:tc>
          <w:tcPr>
            <w:tcW w:w="200" w:type="pct"/>
            <w:gridSpan w:val="2"/>
            <w:vMerge w:val="restart"/>
            <w:shd w:val="clear" w:color="auto" w:fill="auto"/>
            <w:tcMar>
              <w:top w:w="15" w:type="dxa"/>
              <w:left w:w="15" w:type="dxa"/>
              <w:right w:w="15" w:type="dxa"/>
            </w:tcMar>
            <w:vAlign w:val="center"/>
          </w:tcPr>
          <w:p w14:paraId="17E04125">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责令改正</w:t>
            </w:r>
          </w:p>
        </w:tc>
        <w:tc>
          <w:tcPr>
            <w:tcW w:w="390" w:type="pct"/>
            <w:gridSpan w:val="3"/>
            <w:vMerge w:val="restart"/>
            <w:shd w:val="clear" w:color="auto" w:fill="auto"/>
            <w:tcMar>
              <w:top w:w="15" w:type="dxa"/>
              <w:left w:w="15" w:type="dxa"/>
              <w:right w:w="15" w:type="dxa"/>
            </w:tcMar>
            <w:vAlign w:val="center"/>
          </w:tcPr>
          <w:p w14:paraId="51064559">
            <w:pPr>
              <w:shd w:val="clear"/>
              <w:jc w:val="left"/>
              <w:rPr>
                <w:rFonts w:hint="default" w:ascii="Times New Roman" w:hAnsi="Times New Roman" w:cs="Times New Roman" w:eastAsiaTheme="minorEastAsia"/>
                <w:color w:val="auto"/>
                <w:sz w:val="18"/>
                <w:szCs w:val="18"/>
                <w:highlight w:val="none"/>
                <w:lang w:val="en-US" w:eastAsia="zh-CN"/>
              </w:rPr>
            </w:pPr>
          </w:p>
        </w:tc>
      </w:tr>
      <w:tr w14:paraId="567F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trPr>
        <w:tc>
          <w:tcPr>
            <w:tcW w:w="117" w:type="pct"/>
            <w:gridSpan w:val="2"/>
            <w:vMerge w:val="continue"/>
            <w:shd w:val="clear" w:color="auto" w:fill="auto"/>
            <w:tcMar>
              <w:top w:w="15" w:type="dxa"/>
              <w:left w:w="15" w:type="dxa"/>
              <w:right w:w="15" w:type="dxa"/>
            </w:tcMar>
            <w:vAlign w:val="center"/>
          </w:tcPr>
          <w:p w14:paraId="4A92365F">
            <w:pPr>
              <w:shd w:val="clear"/>
              <w:jc w:val="left"/>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2A23A635">
            <w:pPr>
              <w:shd w:val="clear"/>
              <w:jc w:val="left"/>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3BDEFCC4">
            <w:pPr>
              <w:shd w:val="clear"/>
              <w:jc w:val="left"/>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5FBD26AF">
            <w:pPr>
              <w:shd w:val="clear"/>
              <w:jc w:val="left"/>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086E82BA">
            <w:pPr>
              <w:shd w:val="clear"/>
              <w:jc w:val="left"/>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tcMar>
              <w:top w:w="15" w:type="dxa"/>
              <w:left w:w="15" w:type="dxa"/>
              <w:right w:w="15" w:type="dxa"/>
            </w:tcMar>
            <w:vAlign w:val="center"/>
          </w:tcPr>
          <w:p w14:paraId="716EEDA1">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经营面积</w:t>
            </w:r>
            <w:r>
              <w:rPr>
                <w:rFonts w:hint="default" w:ascii="Times New Roman" w:hAnsi="Times New Roman" w:cs="Times New Roman" w:eastAsiaTheme="minorEastAsia"/>
                <w:color w:val="auto"/>
                <w:kern w:val="0"/>
                <w:sz w:val="18"/>
                <w:szCs w:val="18"/>
                <w:highlight w:val="none"/>
                <w:lang w:val="en-US" w:eastAsia="zh-CN"/>
              </w:rPr>
              <w:t>100平方米以上300平方米以下；</w:t>
            </w:r>
          </w:p>
          <w:p w14:paraId="387C4141">
            <w:pPr>
              <w:shd w:val="clear"/>
              <w:jc w:val="left"/>
              <w:rPr>
                <w:rFonts w:hint="default" w:ascii="Times New Roman" w:hAnsi="Times New Roman" w:cs="Times New Roman" w:eastAsiaTheme="minorEastAsia"/>
                <w:color w:val="auto"/>
                <w:kern w:val="0"/>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超标1倍以上3倍以下</w:t>
            </w:r>
          </w:p>
        </w:tc>
        <w:tc>
          <w:tcPr>
            <w:tcW w:w="545" w:type="pct"/>
            <w:gridSpan w:val="2"/>
            <w:shd w:val="clear" w:color="auto" w:fill="auto"/>
            <w:tcMar>
              <w:top w:w="15" w:type="dxa"/>
              <w:left w:w="15" w:type="dxa"/>
              <w:right w:w="15" w:type="dxa"/>
            </w:tcMar>
            <w:vAlign w:val="center"/>
          </w:tcPr>
          <w:p w14:paraId="41F89C57">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1.85万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3.65万</w:t>
            </w:r>
            <w:r>
              <w:rPr>
                <w:rFonts w:hint="default" w:ascii="Times New Roman" w:hAnsi="Times New Roman" w:cs="Times New Roman" w:eastAsiaTheme="minorEastAsia"/>
                <w:color w:val="auto"/>
                <w:kern w:val="0"/>
                <w:sz w:val="18"/>
                <w:szCs w:val="18"/>
                <w:highlight w:val="none"/>
              </w:rPr>
              <w:t>元以下罚款，拒不改正的，责令停业整顿</w:t>
            </w:r>
          </w:p>
        </w:tc>
        <w:tc>
          <w:tcPr>
            <w:tcW w:w="200" w:type="pct"/>
            <w:gridSpan w:val="2"/>
            <w:vMerge w:val="continue"/>
            <w:shd w:val="clear" w:color="auto" w:fill="auto"/>
            <w:tcMar>
              <w:top w:w="15" w:type="dxa"/>
              <w:left w:w="15" w:type="dxa"/>
              <w:right w:w="15" w:type="dxa"/>
            </w:tcMar>
            <w:vAlign w:val="center"/>
          </w:tcPr>
          <w:p w14:paraId="4828B947">
            <w:pPr>
              <w:shd w:val="clear"/>
              <w:jc w:val="left"/>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25B86BCD">
            <w:pPr>
              <w:shd w:val="clear"/>
              <w:jc w:val="left"/>
              <w:rPr>
                <w:rFonts w:hint="default" w:ascii="Times New Roman" w:hAnsi="Times New Roman" w:cs="Times New Roman" w:eastAsiaTheme="minorEastAsia"/>
                <w:color w:val="auto"/>
                <w:kern w:val="0"/>
                <w:sz w:val="18"/>
                <w:szCs w:val="18"/>
                <w:highlight w:val="none"/>
              </w:rPr>
            </w:pPr>
          </w:p>
        </w:tc>
      </w:tr>
      <w:tr w14:paraId="52A7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trPr>
        <w:tc>
          <w:tcPr>
            <w:tcW w:w="117" w:type="pct"/>
            <w:gridSpan w:val="2"/>
            <w:vMerge w:val="continue"/>
            <w:shd w:val="clear" w:color="auto" w:fill="auto"/>
            <w:tcMar>
              <w:top w:w="15" w:type="dxa"/>
              <w:left w:w="15" w:type="dxa"/>
              <w:right w:w="15" w:type="dxa"/>
            </w:tcMar>
            <w:vAlign w:val="center"/>
          </w:tcPr>
          <w:p w14:paraId="5D9B080B">
            <w:pPr>
              <w:shd w:val="clear"/>
              <w:jc w:val="left"/>
              <w:rPr>
                <w:rFonts w:hint="default" w:ascii="Times New Roman" w:hAnsi="Times New Roman" w:cs="Times New Roman" w:eastAsiaTheme="minorEastAsia"/>
                <w:color w:val="auto"/>
                <w:kern w:val="0"/>
                <w:sz w:val="18"/>
                <w:szCs w:val="18"/>
                <w:highlight w:val="none"/>
              </w:rPr>
            </w:pPr>
          </w:p>
        </w:tc>
        <w:tc>
          <w:tcPr>
            <w:tcW w:w="411" w:type="pct"/>
            <w:gridSpan w:val="2"/>
            <w:vMerge w:val="continue"/>
            <w:shd w:val="clear" w:color="auto" w:fill="auto"/>
            <w:tcMar>
              <w:top w:w="15" w:type="dxa"/>
              <w:left w:w="15" w:type="dxa"/>
              <w:right w:w="15" w:type="dxa"/>
            </w:tcMar>
            <w:vAlign w:val="center"/>
          </w:tcPr>
          <w:p w14:paraId="7D141DE2">
            <w:pPr>
              <w:shd w:val="clear"/>
              <w:jc w:val="left"/>
              <w:rPr>
                <w:rFonts w:hint="default" w:ascii="Times New Roman" w:hAnsi="Times New Roman" w:cs="Times New Roman" w:eastAsiaTheme="minorEastAsia"/>
                <w:color w:val="auto"/>
                <w:kern w:val="0"/>
                <w:sz w:val="18"/>
                <w:szCs w:val="18"/>
                <w:highlight w:val="none"/>
              </w:rPr>
            </w:pPr>
          </w:p>
        </w:tc>
        <w:tc>
          <w:tcPr>
            <w:tcW w:w="1310" w:type="pct"/>
            <w:gridSpan w:val="2"/>
            <w:vMerge w:val="continue"/>
            <w:shd w:val="clear" w:color="auto" w:fill="auto"/>
            <w:tcMar>
              <w:top w:w="15" w:type="dxa"/>
              <w:left w:w="15" w:type="dxa"/>
              <w:right w:w="15" w:type="dxa"/>
            </w:tcMar>
            <w:vAlign w:val="center"/>
          </w:tcPr>
          <w:p w14:paraId="400C98A0">
            <w:pPr>
              <w:shd w:val="clear"/>
              <w:jc w:val="left"/>
              <w:rPr>
                <w:rFonts w:hint="default" w:ascii="Times New Roman" w:hAnsi="Times New Roman" w:cs="Times New Roman" w:eastAsiaTheme="minorEastAsia"/>
                <w:color w:val="auto"/>
                <w:kern w:val="0"/>
                <w:sz w:val="18"/>
                <w:szCs w:val="18"/>
                <w:highlight w:val="none"/>
              </w:rPr>
            </w:pPr>
          </w:p>
        </w:tc>
        <w:tc>
          <w:tcPr>
            <w:tcW w:w="1314" w:type="pct"/>
            <w:gridSpan w:val="2"/>
            <w:vMerge w:val="continue"/>
            <w:shd w:val="clear" w:color="auto" w:fill="auto"/>
            <w:tcMar>
              <w:top w:w="15" w:type="dxa"/>
              <w:left w:w="15" w:type="dxa"/>
              <w:right w:w="15" w:type="dxa"/>
            </w:tcMar>
            <w:vAlign w:val="center"/>
          </w:tcPr>
          <w:p w14:paraId="4F8C89FB">
            <w:pPr>
              <w:shd w:val="clear"/>
              <w:jc w:val="left"/>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1B950B3A">
            <w:pPr>
              <w:shd w:val="clear"/>
              <w:jc w:val="left"/>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300CBD2B">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经营面积</w:t>
            </w:r>
            <w:r>
              <w:rPr>
                <w:rFonts w:hint="default" w:ascii="Times New Roman" w:hAnsi="Times New Roman" w:cs="Times New Roman" w:eastAsiaTheme="minorEastAsia"/>
                <w:color w:val="auto"/>
                <w:kern w:val="0"/>
                <w:sz w:val="18"/>
                <w:szCs w:val="18"/>
                <w:highlight w:val="none"/>
                <w:lang w:val="en-US" w:eastAsia="zh-CN"/>
              </w:rPr>
              <w:t>300平方米以上；</w:t>
            </w:r>
          </w:p>
          <w:p w14:paraId="744A733F">
            <w:pPr>
              <w:shd w:val="clear"/>
              <w:jc w:val="left"/>
              <w:rPr>
                <w:rFonts w:hint="default" w:ascii="Times New Roman" w:hAnsi="Times New Roman" w:cs="Times New Roman" w:eastAsiaTheme="minorEastAsia"/>
                <w:color w:val="auto"/>
                <w:kern w:val="0"/>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超标3倍以上</w:t>
            </w:r>
          </w:p>
        </w:tc>
        <w:tc>
          <w:tcPr>
            <w:tcW w:w="545" w:type="pct"/>
            <w:gridSpan w:val="2"/>
            <w:shd w:val="clear" w:color="auto" w:fill="auto"/>
            <w:tcMar>
              <w:top w:w="15" w:type="dxa"/>
              <w:left w:w="15" w:type="dxa"/>
              <w:right w:w="15" w:type="dxa"/>
            </w:tcMar>
            <w:vAlign w:val="center"/>
          </w:tcPr>
          <w:p w14:paraId="17B2F58E">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3.65万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5万</w:t>
            </w:r>
            <w:r>
              <w:rPr>
                <w:rFonts w:hint="default" w:ascii="Times New Roman" w:hAnsi="Times New Roman" w:cs="Times New Roman" w:eastAsiaTheme="minorEastAsia"/>
                <w:color w:val="auto"/>
                <w:kern w:val="0"/>
                <w:sz w:val="18"/>
                <w:szCs w:val="18"/>
                <w:highlight w:val="none"/>
              </w:rPr>
              <w:t>元以下罚款，拒不改正的，责令停业整顿</w:t>
            </w:r>
          </w:p>
        </w:tc>
        <w:tc>
          <w:tcPr>
            <w:tcW w:w="200" w:type="pct"/>
            <w:gridSpan w:val="2"/>
            <w:vMerge w:val="continue"/>
            <w:shd w:val="clear" w:color="auto" w:fill="auto"/>
            <w:tcMar>
              <w:top w:w="15" w:type="dxa"/>
              <w:left w:w="15" w:type="dxa"/>
              <w:right w:w="15" w:type="dxa"/>
            </w:tcMar>
            <w:vAlign w:val="center"/>
          </w:tcPr>
          <w:p w14:paraId="34F532DC">
            <w:pPr>
              <w:shd w:val="clear"/>
              <w:jc w:val="left"/>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738931BB">
            <w:pPr>
              <w:shd w:val="clear"/>
              <w:jc w:val="left"/>
              <w:rPr>
                <w:rFonts w:hint="default" w:ascii="Times New Roman" w:hAnsi="Times New Roman" w:cs="Times New Roman" w:eastAsiaTheme="minorEastAsia"/>
                <w:color w:val="auto"/>
                <w:kern w:val="0"/>
                <w:sz w:val="18"/>
                <w:szCs w:val="18"/>
                <w:highlight w:val="none"/>
              </w:rPr>
            </w:pPr>
          </w:p>
        </w:tc>
      </w:tr>
      <w:tr w14:paraId="7281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117" w:type="pct"/>
            <w:gridSpan w:val="2"/>
            <w:vMerge w:val="restart"/>
            <w:shd w:val="clear" w:color="auto" w:fill="auto"/>
            <w:tcMar>
              <w:top w:w="15" w:type="dxa"/>
              <w:left w:w="15" w:type="dxa"/>
              <w:right w:w="15" w:type="dxa"/>
            </w:tcMar>
            <w:vAlign w:val="center"/>
          </w:tcPr>
          <w:p w14:paraId="7BEDD234">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78</w:t>
            </w:r>
          </w:p>
        </w:tc>
        <w:tc>
          <w:tcPr>
            <w:tcW w:w="411" w:type="pct"/>
            <w:gridSpan w:val="2"/>
            <w:vMerge w:val="restart"/>
            <w:shd w:val="clear" w:color="auto" w:fill="auto"/>
            <w:tcMar>
              <w:top w:w="15" w:type="dxa"/>
              <w:left w:w="15" w:type="dxa"/>
              <w:right w:w="15" w:type="dxa"/>
            </w:tcMar>
            <w:vAlign w:val="center"/>
          </w:tcPr>
          <w:p w14:paraId="4705F8AA">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sz w:val="18"/>
                <w:szCs w:val="18"/>
                <w:highlight w:val="none"/>
                <w:lang w:eastAsia="zh-CN"/>
              </w:rPr>
              <w:t>在居民住宅楼、未配套设立专用烟道的商住综合楼、商住综合楼内与居住层相邻的商业楼层内新建、改建、扩建产生油烟、异味、废气的餐饮服务项目，</w:t>
            </w:r>
            <w:r>
              <w:rPr>
                <w:rFonts w:hint="default" w:ascii="Times New Roman" w:hAnsi="Times New Roman" w:cs="Times New Roman" w:eastAsiaTheme="minorEastAsia"/>
                <w:color w:val="auto"/>
                <w:sz w:val="18"/>
                <w:szCs w:val="18"/>
                <w:highlight w:val="none"/>
                <w:lang w:val="en-US" w:eastAsia="zh-CN"/>
              </w:rPr>
              <w:t>拒不改正的</w:t>
            </w:r>
          </w:p>
        </w:tc>
        <w:tc>
          <w:tcPr>
            <w:tcW w:w="1310" w:type="pct"/>
            <w:gridSpan w:val="2"/>
            <w:vMerge w:val="restart"/>
            <w:shd w:val="clear" w:color="auto" w:fill="auto"/>
            <w:tcMar>
              <w:top w:w="15" w:type="dxa"/>
              <w:left w:w="15" w:type="dxa"/>
              <w:right w:w="15" w:type="dxa"/>
            </w:tcMar>
            <w:vAlign w:val="center"/>
          </w:tcPr>
          <w:p w14:paraId="1A2B752F">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sz w:val="18"/>
                <w:szCs w:val="18"/>
                <w:highlight w:val="none"/>
                <w:lang w:eastAsia="zh-CN"/>
              </w:rPr>
              <w:t>《中华人民共和国大气污染防治法》第八十一条</w:t>
            </w:r>
            <w:r>
              <w:rPr>
                <w:rFonts w:hint="default" w:ascii="Times New Roman" w:hAnsi="Times New Roman" w:cs="Times New Roman" w:eastAsiaTheme="minorEastAsia"/>
                <w:color w:val="auto"/>
                <w:sz w:val="18"/>
                <w:szCs w:val="18"/>
                <w:highlight w:val="none"/>
                <w:lang w:val="en-US" w:eastAsia="zh-CN"/>
              </w:rPr>
              <w:t>第二款：“</w:t>
            </w:r>
            <w:r>
              <w:rPr>
                <w:rFonts w:hint="default" w:ascii="Times New Roman" w:hAnsi="Times New Roman" w:cs="Times New Roman" w:eastAsiaTheme="minorEastAsia"/>
                <w:color w:val="auto"/>
                <w:sz w:val="18"/>
                <w:szCs w:val="18"/>
                <w:highlight w:val="none"/>
                <w:lang w:eastAsia="zh-CN"/>
              </w:rPr>
              <w:t>禁止在居民住宅楼、未配套设立专用烟道的商住综合楼以及商住综合楼内与居住层相邻的商业楼层内新建、改建、扩建产生油烟、异味、废气的餐饮服务项目。”</w:t>
            </w:r>
          </w:p>
          <w:p w14:paraId="444945FD">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1314" w:type="pct"/>
            <w:gridSpan w:val="2"/>
            <w:vMerge w:val="restart"/>
            <w:shd w:val="clear" w:color="auto" w:fill="auto"/>
            <w:tcMar>
              <w:top w:w="15" w:type="dxa"/>
              <w:left w:w="15" w:type="dxa"/>
              <w:right w:w="15" w:type="dxa"/>
            </w:tcMar>
            <w:vAlign w:val="center"/>
          </w:tcPr>
          <w:p w14:paraId="5771367A">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sz w:val="18"/>
                <w:szCs w:val="18"/>
                <w:highlight w:val="none"/>
                <w:lang w:eastAsia="zh-CN"/>
              </w:rPr>
              <w:t>《中华人民共和国大气污染防治法》</w:t>
            </w:r>
            <w:r>
              <w:rPr>
                <w:rFonts w:hint="default" w:ascii="Times New Roman" w:hAnsi="Times New Roman" w:cs="Times New Roman" w:eastAsiaTheme="minorEastAsia"/>
                <w:color w:val="auto"/>
                <w:sz w:val="18"/>
                <w:szCs w:val="18"/>
                <w:highlight w:val="none"/>
                <w:lang w:val="en-US" w:eastAsia="zh-CN"/>
              </w:rPr>
              <w:t xml:space="preserve"> </w:t>
            </w:r>
            <w:r>
              <w:rPr>
                <w:rFonts w:hint="default" w:ascii="Times New Roman" w:hAnsi="Times New Roman" w:cs="Times New Roman" w:eastAsiaTheme="minorEastAsia"/>
                <w:color w:val="auto"/>
                <w:sz w:val="18"/>
                <w:szCs w:val="18"/>
                <w:highlight w:val="none"/>
                <w:lang w:eastAsia="zh-CN"/>
              </w:rPr>
              <w:t>第一百一十八条</w:t>
            </w:r>
            <w:r>
              <w:rPr>
                <w:rFonts w:hint="default" w:ascii="Times New Roman" w:hAnsi="Times New Roman" w:cs="Times New Roman" w:eastAsiaTheme="minorEastAsia"/>
                <w:color w:val="auto"/>
                <w:sz w:val="18"/>
                <w:szCs w:val="18"/>
                <w:highlight w:val="none"/>
                <w:lang w:val="en-US" w:eastAsia="zh-CN"/>
              </w:rPr>
              <w:t>第二款：“</w:t>
            </w:r>
            <w:r>
              <w:rPr>
                <w:rFonts w:hint="default" w:ascii="Times New Roman" w:hAnsi="Times New Roman" w:cs="Times New Roman" w:eastAsiaTheme="minorEastAsia"/>
                <w:color w:val="auto"/>
                <w:sz w:val="18"/>
                <w:szCs w:val="18"/>
                <w:highlight w:val="none"/>
                <w:lang w:eastAsia="zh-CN"/>
              </w:rPr>
              <w:t>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14:paraId="6AF8ABA1">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40213FF2">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eastAsia" w:ascii="Times New Roman" w:hAnsi="Times New Roman" w:cs="Times New Roman"/>
                <w:color w:val="auto"/>
                <w:kern w:val="0"/>
                <w:sz w:val="18"/>
                <w:szCs w:val="18"/>
                <w:highlight w:val="none"/>
                <w:lang w:val="en-US" w:eastAsia="zh-CN"/>
              </w:rPr>
              <w:t>轻微</w:t>
            </w:r>
          </w:p>
        </w:tc>
        <w:tc>
          <w:tcPr>
            <w:tcW w:w="533" w:type="pct"/>
            <w:gridSpan w:val="3"/>
            <w:shd w:val="clear" w:color="auto" w:fill="auto"/>
            <w:tcMar>
              <w:top w:w="15" w:type="dxa"/>
              <w:left w:w="15" w:type="dxa"/>
              <w:right w:w="15" w:type="dxa"/>
            </w:tcMar>
            <w:vAlign w:val="center"/>
          </w:tcPr>
          <w:p w14:paraId="504D5B0A">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经营面积</w:t>
            </w:r>
            <w:r>
              <w:rPr>
                <w:rFonts w:hint="default" w:ascii="Times New Roman" w:hAnsi="Times New Roman" w:cs="Times New Roman" w:eastAsiaTheme="minorEastAsia"/>
                <w:color w:val="auto"/>
                <w:kern w:val="0"/>
                <w:sz w:val="18"/>
                <w:szCs w:val="18"/>
                <w:highlight w:val="none"/>
                <w:lang w:val="en-US" w:eastAsia="zh-CN"/>
              </w:rPr>
              <w:t>100平方米以下</w:t>
            </w:r>
          </w:p>
        </w:tc>
        <w:tc>
          <w:tcPr>
            <w:tcW w:w="545" w:type="pct"/>
            <w:gridSpan w:val="2"/>
            <w:shd w:val="clear" w:color="auto" w:fill="auto"/>
            <w:tcMar>
              <w:top w:w="15" w:type="dxa"/>
              <w:left w:w="15" w:type="dxa"/>
              <w:right w:w="15" w:type="dxa"/>
            </w:tcMar>
            <w:vAlign w:val="center"/>
          </w:tcPr>
          <w:p w14:paraId="4C6CC96D">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予以关闭，并处</w:t>
            </w:r>
            <w:r>
              <w:rPr>
                <w:rFonts w:hint="default" w:ascii="Times New Roman" w:hAnsi="Times New Roman" w:cs="Times New Roman" w:eastAsiaTheme="minorEastAsia"/>
                <w:color w:val="auto"/>
                <w:kern w:val="0"/>
                <w:sz w:val="18"/>
                <w:szCs w:val="18"/>
                <w:highlight w:val="none"/>
                <w:lang w:val="en-US" w:eastAsia="zh-CN"/>
              </w:rPr>
              <w:t>1万元以上3.7万元以下罚款</w:t>
            </w:r>
          </w:p>
        </w:tc>
        <w:tc>
          <w:tcPr>
            <w:tcW w:w="200" w:type="pct"/>
            <w:gridSpan w:val="2"/>
            <w:vMerge w:val="restart"/>
            <w:shd w:val="clear" w:color="auto" w:fill="auto"/>
            <w:tcMar>
              <w:top w:w="15" w:type="dxa"/>
              <w:left w:w="15" w:type="dxa"/>
              <w:right w:w="15" w:type="dxa"/>
            </w:tcMar>
            <w:vAlign w:val="center"/>
          </w:tcPr>
          <w:p w14:paraId="389E0678">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责令改正</w:t>
            </w:r>
          </w:p>
        </w:tc>
        <w:tc>
          <w:tcPr>
            <w:tcW w:w="390" w:type="pct"/>
            <w:gridSpan w:val="3"/>
            <w:vMerge w:val="restart"/>
            <w:shd w:val="clear" w:color="auto" w:fill="auto"/>
            <w:tcMar>
              <w:top w:w="15" w:type="dxa"/>
              <w:left w:w="15" w:type="dxa"/>
              <w:right w:w="15" w:type="dxa"/>
            </w:tcMar>
            <w:vAlign w:val="center"/>
          </w:tcPr>
          <w:p w14:paraId="16B029E8">
            <w:pPr>
              <w:shd w:val="clear"/>
              <w:jc w:val="left"/>
              <w:rPr>
                <w:rFonts w:hint="default" w:ascii="Times New Roman" w:hAnsi="Times New Roman" w:cs="Times New Roman" w:eastAsiaTheme="minorEastAsia"/>
                <w:color w:val="auto"/>
                <w:sz w:val="18"/>
                <w:szCs w:val="18"/>
                <w:highlight w:val="none"/>
                <w:lang w:val="en-US" w:eastAsia="zh-CN"/>
              </w:rPr>
            </w:pPr>
          </w:p>
        </w:tc>
      </w:tr>
      <w:tr w14:paraId="4A5A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117" w:type="pct"/>
            <w:gridSpan w:val="2"/>
            <w:vMerge w:val="continue"/>
            <w:shd w:val="clear" w:color="auto" w:fill="auto"/>
            <w:tcMar>
              <w:top w:w="15" w:type="dxa"/>
              <w:left w:w="15" w:type="dxa"/>
              <w:right w:w="15" w:type="dxa"/>
            </w:tcMar>
            <w:vAlign w:val="center"/>
          </w:tcPr>
          <w:p w14:paraId="65954B40">
            <w:pPr>
              <w:shd w:val="clear"/>
              <w:jc w:val="left"/>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1407E70F">
            <w:pPr>
              <w:shd w:val="clear"/>
              <w:jc w:val="left"/>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5A7556F6">
            <w:pPr>
              <w:shd w:val="clear"/>
              <w:jc w:val="left"/>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13FD0F84">
            <w:pPr>
              <w:shd w:val="clear"/>
              <w:jc w:val="left"/>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58FFF3A4">
            <w:pPr>
              <w:shd w:val="clear"/>
              <w:jc w:val="left"/>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tcMar>
              <w:top w:w="15" w:type="dxa"/>
              <w:left w:w="15" w:type="dxa"/>
              <w:right w:w="15" w:type="dxa"/>
            </w:tcMar>
            <w:vAlign w:val="center"/>
          </w:tcPr>
          <w:p w14:paraId="3CEB48B8">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经营面积</w:t>
            </w:r>
            <w:r>
              <w:rPr>
                <w:rFonts w:hint="default" w:ascii="Times New Roman" w:hAnsi="Times New Roman" w:cs="Times New Roman" w:eastAsiaTheme="minorEastAsia"/>
                <w:color w:val="auto"/>
                <w:kern w:val="0"/>
                <w:sz w:val="18"/>
                <w:szCs w:val="18"/>
                <w:highlight w:val="none"/>
                <w:lang w:val="en-US" w:eastAsia="zh-CN"/>
              </w:rPr>
              <w:t>100平方米以上300平方米以下</w:t>
            </w:r>
          </w:p>
        </w:tc>
        <w:tc>
          <w:tcPr>
            <w:tcW w:w="545" w:type="pct"/>
            <w:gridSpan w:val="2"/>
            <w:shd w:val="clear" w:color="auto" w:fill="auto"/>
            <w:tcMar>
              <w:top w:w="15" w:type="dxa"/>
              <w:left w:w="15" w:type="dxa"/>
              <w:right w:w="15" w:type="dxa"/>
            </w:tcMar>
            <w:vAlign w:val="center"/>
          </w:tcPr>
          <w:p w14:paraId="3F6FD5C2">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予以关闭，并处</w:t>
            </w:r>
            <w:r>
              <w:rPr>
                <w:rFonts w:hint="default" w:ascii="Times New Roman" w:hAnsi="Times New Roman" w:cs="Times New Roman" w:eastAsiaTheme="minorEastAsia"/>
                <w:color w:val="auto"/>
                <w:kern w:val="0"/>
                <w:sz w:val="18"/>
                <w:szCs w:val="18"/>
                <w:highlight w:val="none"/>
                <w:lang w:val="en-US" w:eastAsia="zh-CN"/>
              </w:rPr>
              <w:t>3.7万元以下7.3万元以上罚款</w:t>
            </w:r>
          </w:p>
        </w:tc>
        <w:tc>
          <w:tcPr>
            <w:tcW w:w="200" w:type="pct"/>
            <w:gridSpan w:val="2"/>
            <w:vMerge w:val="continue"/>
            <w:shd w:val="clear" w:color="auto" w:fill="auto"/>
            <w:tcMar>
              <w:top w:w="15" w:type="dxa"/>
              <w:left w:w="15" w:type="dxa"/>
              <w:right w:w="15" w:type="dxa"/>
            </w:tcMar>
            <w:vAlign w:val="center"/>
          </w:tcPr>
          <w:p w14:paraId="310D6073">
            <w:pPr>
              <w:shd w:val="clear"/>
              <w:jc w:val="left"/>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1F28C7A0">
            <w:pPr>
              <w:shd w:val="clear"/>
              <w:jc w:val="left"/>
              <w:rPr>
                <w:rFonts w:hint="default" w:ascii="Times New Roman" w:hAnsi="Times New Roman" w:cs="Times New Roman" w:eastAsiaTheme="minorEastAsia"/>
                <w:color w:val="auto"/>
                <w:kern w:val="0"/>
                <w:sz w:val="18"/>
                <w:szCs w:val="18"/>
                <w:highlight w:val="none"/>
              </w:rPr>
            </w:pPr>
          </w:p>
        </w:tc>
      </w:tr>
      <w:tr w14:paraId="37DAE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117" w:type="pct"/>
            <w:gridSpan w:val="2"/>
            <w:vMerge w:val="continue"/>
            <w:shd w:val="clear" w:color="auto" w:fill="auto"/>
            <w:tcMar>
              <w:top w:w="15" w:type="dxa"/>
              <w:left w:w="15" w:type="dxa"/>
              <w:right w:w="15" w:type="dxa"/>
            </w:tcMar>
            <w:vAlign w:val="center"/>
          </w:tcPr>
          <w:p w14:paraId="14DFA85F">
            <w:pPr>
              <w:shd w:val="clear"/>
              <w:jc w:val="left"/>
              <w:rPr>
                <w:rFonts w:hint="default" w:ascii="Times New Roman" w:hAnsi="Times New Roman" w:cs="Times New Roman" w:eastAsiaTheme="minorEastAsia"/>
                <w:color w:val="auto"/>
                <w:kern w:val="0"/>
                <w:sz w:val="18"/>
                <w:szCs w:val="18"/>
                <w:highlight w:val="none"/>
              </w:rPr>
            </w:pPr>
          </w:p>
        </w:tc>
        <w:tc>
          <w:tcPr>
            <w:tcW w:w="411" w:type="pct"/>
            <w:gridSpan w:val="2"/>
            <w:vMerge w:val="continue"/>
            <w:shd w:val="clear" w:color="auto" w:fill="auto"/>
            <w:tcMar>
              <w:top w:w="15" w:type="dxa"/>
              <w:left w:w="15" w:type="dxa"/>
              <w:right w:w="15" w:type="dxa"/>
            </w:tcMar>
            <w:vAlign w:val="center"/>
          </w:tcPr>
          <w:p w14:paraId="07586B19">
            <w:pPr>
              <w:shd w:val="clear"/>
              <w:jc w:val="left"/>
              <w:rPr>
                <w:rFonts w:hint="default" w:ascii="Times New Roman" w:hAnsi="Times New Roman" w:cs="Times New Roman" w:eastAsiaTheme="minorEastAsia"/>
                <w:color w:val="auto"/>
                <w:kern w:val="0"/>
                <w:sz w:val="18"/>
                <w:szCs w:val="18"/>
                <w:highlight w:val="none"/>
              </w:rPr>
            </w:pPr>
          </w:p>
        </w:tc>
        <w:tc>
          <w:tcPr>
            <w:tcW w:w="1310" w:type="pct"/>
            <w:gridSpan w:val="2"/>
            <w:vMerge w:val="continue"/>
            <w:shd w:val="clear" w:color="auto" w:fill="auto"/>
            <w:tcMar>
              <w:top w:w="15" w:type="dxa"/>
              <w:left w:w="15" w:type="dxa"/>
              <w:right w:w="15" w:type="dxa"/>
            </w:tcMar>
            <w:vAlign w:val="center"/>
          </w:tcPr>
          <w:p w14:paraId="163C9752">
            <w:pPr>
              <w:shd w:val="clear"/>
              <w:jc w:val="left"/>
              <w:rPr>
                <w:rFonts w:hint="default" w:ascii="Times New Roman" w:hAnsi="Times New Roman" w:cs="Times New Roman" w:eastAsiaTheme="minorEastAsia"/>
                <w:color w:val="auto"/>
                <w:kern w:val="0"/>
                <w:sz w:val="18"/>
                <w:szCs w:val="18"/>
                <w:highlight w:val="none"/>
              </w:rPr>
            </w:pPr>
          </w:p>
        </w:tc>
        <w:tc>
          <w:tcPr>
            <w:tcW w:w="1314" w:type="pct"/>
            <w:gridSpan w:val="2"/>
            <w:vMerge w:val="continue"/>
            <w:shd w:val="clear" w:color="auto" w:fill="auto"/>
            <w:tcMar>
              <w:top w:w="15" w:type="dxa"/>
              <w:left w:w="15" w:type="dxa"/>
              <w:right w:w="15" w:type="dxa"/>
            </w:tcMar>
            <w:vAlign w:val="center"/>
          </w:tcPr>
          <w:p w14:paraId="080588D8">
            <w:pPr>
              <w:shd w:val="clear"/>
              <w:jc w:val="left"/>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7D271DD5">
            <w:pPr>
              <w:shd w:val="clear"/>
              <w:jc w:val="left"/>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00C06608">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经营面积</w:t>
            </w:r>
            <w:r>
              <w:rPr>
                <w:rFonts w:hint="default" w:ascii="Times New Roman" w:hAnsi="Times New Roman" w:cs="Times New Roman" w:eastAsiaTheme="minorEastAsia"/>
                <w:color w:val="auto"/>
                <w:kern w:val="0"/>
                <w:sz w:val="18"/>
                <w:szCs w:val="18"/>
                <w:highlight w:val="none"/>
                <w:lang w:val="en-US" w:eastAsia="zh-CN"/>
              </w:rPr>
              <w:t>300平方米以上</w:t>
            </w:r>
          </w:p>
        </w:tc>
        <w:tc>
          <w:tcPr>
            <w:tcW w:w="545" w:type="pct"/>
            <w:gridSpan w:val="2"/>
            <w:shd w:val="clear" w:color="auto" w:fill="auto"/>
            <w:tcMar>
              <w:top w:w="15" w:type="dxa"/>
              <w:left w:w="15" w:type="dxa"/>
              <w:right w:w="15" w:type="dxa"/>
            </w:tcMar>
            <w:vAlign w:val="center"/>
          </w:tcPr>
          <w:p w14:paraId="0FE5E55B">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予以关闭，并处</w:t>
            </w:r>
            <w:r>
              <w:rPr>
                <w:rFonts w:hint="default" w:ascii="Times New Roman" w:hAnsi="Times New Roman" w:cs="Times New Roman" w:eastAsiaTheme="minorEastAsia"/>
                <w:color w:val="auto"/>
                <w:kern w:val="0"/>
                <w:sz w:val="18"/>
                <w:szCs w:val="18"/>
                <w:highlight w:val="none"/>
                <w:lang w:val="en-US" w:eastAsia="zh-CN"/>
              </w:rPr>
              <w:t>7.3万元以上10万元以下罚款</w:t>
            </w:r>
          </w:p>
        </w:tc>
        <w:tc>
          <w:tcPr>
            <w:tcW w:w="200" w:type="pct"/>
            <w:gridSpan w:val="2"/>
            <w:vMerge w:val="continue"/>
            <w:shd w:val="clear" w:color="auto" w:fill="auto"/>
            <w:tcMar>
              <w:top w:w="15" w:type="dxa"/>
              <w:left w:w="15" w:type="dxa"/>
              <w:right w:w="15" w:type="dxa"/>
            </w:tcMar>
            <w:vAlign w:val="center"/>
          </w:tcPr>
          <w:p w14:paraId="2598FAF4">
            <w:pPr>
              <w:shd w:val="clear"/>
              <w:jc w:val="left"/>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0FBC84D1">
            <w:pPr>
              <w:shd w:val="clear"/>
              <w:jc w:val="left"/>
              <w:rPr>
                <w:rFonts w:hint="default" w:ascii="Times New Roman" w:hAnsi="Times New Roman" w:cs="Times New Roman" w:eastAsiaTheme="minorEastAsia"/>
                <w:color w:val="auto"/>
                <w:kern w:val="0"/>
                <w:sz w:val="18"/>
                <w:szCs w:val="18"/>
                <w:highlight w:val="none"/>
              </w:rPr>
            </w:pPr>
          </w:p>
        </w:tc>
      </w:tr>
      <w:tr w14:paraId="34647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117" w:type="pct"/>
            <w:gridSpan w:val="2"/>
            <w:vMerge w:val="restart"/>
            <w:shd w:val="clear" w:color="auto" w:fill="auto"/>
            <w:tcMar>
              <w:top w:w="15" w:type="dxa"/>
              <w:left w:w="15" w:type="dxa"/>
              <w:right w:w="15" w:type="dxa"/>
            </w:tcMar>
            <w:vAlign w:val="center"/>
          </w:tcPr>
          <w:p w14:paraId="0DFBFE9D">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79</w:t>
            </w:r>
          </w:p>
        </w:tc>
        <w:tc>
          <w:tcPr>
            <w:tcW w:w="411" w:type="pct"/>
            <w:gridSpan w:val="2"/>
            <w:vMerge w:val="restart"/>
            <w:shd w:val="clear" w:color="auto" w:fill="auto"/>
            <w:tcMar>
              <w:top w:w="15" w:type="dxa"/>
              <w:left w:w="15" w:type="dxa"/>
              <w:right w:w="15" w:type="dxa"/>
            </w:tcMar>
            <w:vAlign w:val="center"/>
          </w:tcPr>
          <w:p w14:paraId="3C9A4315">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sz w:val="18"/>
                <w:szCs w:val="18"/>
                <w:highlight w:val="none"/>
                <w:lang w:eastAsia="zh-CN"/>
              </w:rPr>
              <w:t>在当地人民政府禁止的时段和区域内露天烧烤食品或者为露天烧烤食品提供场地的</w:t>
            </w:r>
          </w:p>
        </w:tc>
        <w:tc>
          <w:tcPr>
            <w:tcW w:w="1310" w:type="pct"/>
            <w:gridSpan w:val="2"/>
            <w:vMerge w:val="restart"/>
            <w:shd w:val="clear" w:color="auto" w:fill="auto"/>
            <w:tcMar>
              <w:top w:w="15" w:type="dxa"/>
              <w:left w:w="15" w:type="dxa"/>
              <w:right w:w="15" w:type="dxa"/>
            </w:tcMar>
            <w:vAlign w:val="center"/>
          </w:tcPr>
          <w:p w14:paraId="0968D0BF">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eastAsia="zh-CN"/>
              </w:rPr>
              <w:t>《中华人民共和国大气污染防治法》第八十一条</w:t>
            </w:r>
            <w:r>
              <w:rPr>
                <w:rFonts w:hint="default" w:ascii="Times New Roman" w:hAnsi="Times New Roman" w:cs="Times New Roman" w:eastAsiaTheme="minorEastAsia"/>
                <w:color w:val="auto"/>
                <w:sz w:val="18"/>
                <w:szCs w:val="18"/>
                <w:highlight w:val="none"/>
                <w:lang w:val="en-US" w:eastAsia="zh-CN"/>
              </w:rPr>
              <w:t>第三款：</w:t>
            </w:r>
            <w:r>
              <w:rPr>
                <w:rFonts w:hint="default" w:ascii="Times New Roman" w:hAnsi="Times New Roman" w:cs="Times New Roman" w:eastAsiaTheme="minorEastAsia"/>
                <w:color w:val="auto"/>
                <w:sz w:val="18"/>
                <w:szCs w:val="18"/>
                <w:highlight w:val="none"/>
                <w:lang w:eastAsia="zh-CN"/>
              </w:rPr>
              <w:t>任何单位和个人不得在当地人民政府禁止的区域内露天烧烤食品或者为露天烧烤食品提供场地。</w:t>
            </w:r>
          </w:p>
        </w:tc>
        <w:tc>
          <w:tcPr>
            <w:tcW w:w="1314" w:type="pct"/>
            <w:gridSpan w:val="2"/>
            <w:vMerge w:val="restart"/>
            <w:shd w:val="clear" w:color="auto" w:fill="auto"/>
            <w:tcMar>
              <w:top w:w="15" w:type="dxa"/>
              <w:left w:w="15" w:type="dxa"/>
              <w:right w:w="15" w:type="dxa"/>
            </w:tcMar>
            <w:vAlign w:val="center"/>
          </w:tcPr>
          <w:p w14:paraId="707E165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eastAsia="zh-CN"/>
              </w:rPr>
              <w:t>《中华人民共和国大气污染防治法》</w:t>
            </w:r>
            <w:r>
              <w:rPr>
                <w:rFonts w:hint="default" w:ascii="Times New Roman" w:hAnsi="Times New Roman" w:cs="Times New Roman" w:eastAsiaTheme="minorEastAsia"/>
                <w:color w:val="auto"/>
                <w:sz w:val="18"/>
                <w:szCs w:val="18"/>
                <w:highlight w:val="none"/>
                <w:lang w:val="en-US" w:eastAsia="zh-CN"/>
              </w:rPr>
              <w:t xml:space="preserve"> </w:t>
            </w:r>
            <w:r>
              <w:rPr>
                <w:rFonts w:hint="default" w:ascii="Times New Roman" w:hAnsi="Times New Roman" w:cs="Times New Roman" w:eastAsiaTheme="minorEastAsia"/>
                <w:color w:val="auto"/>
                <w:sz w:val="18"/>
                <w:szCs w:val="18"/>
                <w:highlight w:val="none"/>
                <w:lang w:eastAsia="zh-CN"/>
              </w:rPr>
              <w:t>第一百一十八条第三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tc>
        <w:tc>
          <w:tcPr>
            <w:tcW w:w="177" w:type="pct"/>
            <w:gridSpan w:val="2"/>
            <w:shd w:val="clear" w:color="auto" w:fill="auto"/>
            <w:tcMar>
              <w:top w:w="15" w:type="dxa"/>
              <w:left w:w="15" w:type="dxa"/>
              <w:right w:w="15" w:type="dxa"/>
            </w:tcMar>
            <w:vAlign w:val="center"/>
          </w:tcPr>
          <w:p w14:paraId="6811C80B">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3524453C">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初次被查处；</w:t>
            </w:r>
          </w:p>
          <w:p w14:paraId="79E04A7C">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为露天烧烤提供场地经营面积10</w:t>
            </w:r>
            <w:r>
              <w:rPr>
                <w:rFonts w:hint="default" w:ascii="Times New Roman" w:hAnsi="Times New Roman" w:cs="Times New Roman" w:eastAsiaTheme="minorEastAsia"/>
                <w:color w:val="auto"/>
                <w:kern w:val="0"/>
                <w:sz w:val="18"/>
                <w:szCs w:val="18"/>
                <w:highlight w:val="none"/>
                <w:lang w:eastAsia="zh-CN"/>
              </w:rPr>
              <w:t>平方米以下</w:t>
            </w:r>
          </w:p>
        </w:tc>
        <w:tc>
          <w:tcPr>
            <w:tcW w:w="545" w:type="pct"/>
            <w:gridSpan w:val="2"/>
            <w:shd w:val="clear" w:color="auto" w:fill="auto"/>
            <w:tcMar>
              <w:top w:w="15" w:type="dxa"/>
              <w:left w:w="15" w:type="dxa"/>
              <w:right w:w="15" w:type="dxa"/>
            </w:tcMar>
            <w:vAlign w:val="center"/>
          </w:tcPr>
          <w:p w14:paraId="21540B3A">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没收烧烤工具和违法所得，并处</w:t>
            </w:r>
            <w:r>
              <w:rPr>
                <w:rFonts w:hint="default" w:ascii="Times New Roman" w:hAnsi="Times New Roman" w:cs="Times New Roman" w:eastAsiaTheme="minorEastAsia"/>
                <w:color w:val="auto"/>
                <w:kern w:val="0"/>
                <w:sz w:val="18"/>
                <w:szCs w:val="18"/>
                <w:highlight w:val="none"/>
                <w:lang w:val="en-US" w:eastAsia="zh-CN"/>
              </w:rPr>
              <w:t>500元</w:t>
            </w:r>
            <w:r>
              <w:rPr>
                <w:rFonts w:hint="default" w:ascii="Times New Roman" w:hAnsi="Times New Roman" w:cs="Times New Roman" w:eastAsiaTheme="minorEastAsia"/>
                <w:color w:val="auto"/>
                <w:kern w:val="0"/>
                <w:sz w:val="18"/>
                <w:szCs w:val="18"/>
                <w:highlight w:val="none"/>
              </w:rPr>
              <w:t>以上</w:t>
            </w:r>
            <w:r>
              <w:rPr>
                <w:rFonts w:hint="default" w:ascii="Times New Roman" w:hAnsi="Times New Roman" w:cs="Times New Roman" w:eastAsiaTheme="minorEastAsia"/>
                <w:color w:val="auto"/>
                <w:kern w:val="0"/>
                <w:sz w:val="18"/>
                <w:szCs w:val="18"/>
                <w:highlight w:val="none"/>
                <w:lang w:val="en-US" w:eastAsia="zh-CN"/>
              </w:rPr>
              <w:t>6350</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restart"/>
            <w:shd w:val="clear" w:color="auto" w:fill="auto"/>
            <w:tcMar>
              <w:top w:w="15" w:type="dxa"/>
              <w:left w:w="15" w:type="dxa"/>
              <w:right w:w="15" w:type="dxa"/>
            </w:tcMar>
            <w:vAlign w:val="center"/>
          </w:tcPr>
          <w:p w14:paraId="539C1A5E">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责令改正</w:t>
            </w:r>
          </w:p>
        </w:tc>
        <w:tc>
          <w:tcPr>
            <w:tcW w:w="390" w:type="pct"/>
            <w:gridSpan w:val="3"/>
            <w:vMerge w:val="restart"/>
            <w:shd w:val="clear" w:color="auto" w:fill="auto"/>
            <w:tcMar>
              <w:top w:w="15" w:type="dxa"/>
              <w:left w:w="15" w:type="dxa"/>
              <w:right w:w="15" w:type="dxa"/>
            </w:tcMar>
            <w:vAlign w:val="center"/>
          </w:tcPr>
          <w:p w14:paraId="4E269C8A">
            <w:pPr>
              <w:shd w:val="clear"/>
              <w:jc w:val="left"/>
              <w:rPr>
                <w:rFonts w:hint="default" w:ascii="Times New Roman" w:hAnsi="Times New Roman" w:cs="Times New Roman" w:eastAsiaTheme="minorEastAsia"/>
                <w:color w:val="auto"/>
                <w:sz w:val="18"/>
                <w:szCs w:val="18"/>
                <w:highlight w:val="none"/>
                <w:lang w:val="en-US" w:eastAsia="zh-CN"/>
              </w:rPr>
            </w:pPr>
          </w:p>
        </w:tc>
      </w:tr>
      <w:tr w14:paraId="2C2F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117" w:type="pct"/>
            <w:gridSpan w:val="2"/>
            <w:vMerge w:val="continue"/>
            <w:shd w:val="clear" w:color="auto" w:fill="auto"/>
            <w:tcMar>
              <w:top w:w="15" w:type="dxa"/>
              <w:left w:w="15" w:type="dxa"/>
              <w:right w:w="15" w:type="dxa"/>
            </w:tcMar>
            <w:vAlign w:val="center"/>
          </w:tcPr>
          <w:p w14:paraId="702D0EFE">
            <w:pPr>
              <w:shd w:val="clear"/>
              <w:jc w:val="left"/>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237BF7A2">
            <w:pPr>
              <w:shd w:val="clear"/>
              <w:jc w:val="left"/>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414F6034">
            <w:pPr>
              <w:shd w:val="clear"/>
              <w:jc w:val="left"/>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6030D9B8">
            <w:pPr>
              <w:shd w:val="clear"/>
              <w:jc w:val="left"/>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13CF1450">
            <w:pPr>
              <w:shd w:val="clear"/>
              <w:jc w:val="left"/>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tcMar>
              <w:top w:w="15" w:type="dxa"/>
              <w:left w:w="15" w:type="dxa"/>
              <w:right w:w="15" w:type="dxa"/>
            </w:tcMar>
            <w:vAlign w:val="center"/>
          </w:tcPr>
          <w:p w14:paraId="6D33A988">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2次被查处；</w:t>
            </w:r>
          </w:p>
          <w:p w14:paraId="53DCCC81">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为露天烧烤提供场地经营面积10平方米以上30平方米以下</w:t>
            </w:r>
          </w:p>
        </w:tc>
        <w:tc>
          <w:tcPr>
            <w:tcW w:w="545" w:type="pct"/>
            <w:gridSpan w:val="2"/>
            <w:shd w:val="clear" w:color="auto" w:fill="auto"/>
            <w:tcMar>
              <w:top w:w="15" w:type="dxa"/>
              <w:left w:w="15" w:type="dxa"/>
              <w:right w:w="15" w:type="dxa"/>
            </w:tcMar>
            <w:vAlign w:val="center"/>
          </w:tcPr>
          <w:p w14:paraId="4D0C9FFE">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没收烧烤工具和违法所得，并处</w:t>
            </w:r>
            <w:r>
              <w:rPr>
                <w:rFonts w:hint="default" w:ascii="Times New Roman" w:hAnsi="Times New Roman" w:cs="Times New Roman" w:eastAsiaTheme="minorEastAsia"/>
                <w:color w:val="auto"/>
                <w:kern w:val="0"/>
                <w:sz w:val="18"/>
                <w:szCs w:val="18"/>
                <w:highlight w:val="none"/>
                <w:lang w:val="en-US" w:eastAsia="zh-CN"/>
              </w:rPr>
              <w:t>6350元</w:t>
            </w:r>
            <w:r>
              <w:rPr>
                <w:rFonts w:hint="default" w:ascii="Times New Roman" w:hAnsi="Times New Roman" w:cs="Times New Roman" w:eastAsiaTheme="minorEastAsia"/>
                <w:color w:val="auto"/>
                <w:kern w:val="0"/>
                <w:sz w:val="18"/>
                <w:szCs w:val="18"/>
                <w:highlight w:val="none"/>
              </w:rPr>
              <w:t>以上</w:t>
            </w:r>
            <w:r>
              <w:rPr>
                <w:rFonts w:hint="default" w:ascii="Times New Roman" w:hAnsi="Times New Roman" w:cs="Times New Roman" w:eastAsiaTheme="minorEastAsia"/>
                <w:color w:val="auto"/>
                <w:kern w:val="0"/>
                <w:sz w:val="18"/>
                <w:szCs w:val="18"/>
                <w:highlight w:val="none"/>
                <w:lang w:val="en-US" w:eastAsia="zh-CN"/>
              </w:rPr>
              <w:t>14150</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4E760C19">
            <w:pPr>
              <w:shd w:val="clear"/>
              <w:jc w:val="left"/>
              <w:rPr>
                <w:rFonts w:hint="default" w:ascii="Times New Roman" w:hAnsi="Times New Roman" w:cs="Times New Roman" w:eastAsiaTheme="minorEastAsia"/>
                <w:color w:val="auto"/>
                <w:kern w:val="0"/>
                <w:sz w:val="18"/>
                <w:szCs w:val="18"/>
                <w:highlight w:val="none"/>
                <w:lang w:eastAsia="zh-CN"/>
              </w:rPr>
            </w:pPr>
          </w:p>
        </w:tc>
        <w:tc>
          <w:tcPr>
            <w:tcW w:w="390" w:type="pct"/>
            <w:gridSpan w:val="3"/>
            <w:vMerge w:val="continue"/>
            <w:shd w:val="clear" w:color="auto" w:fill="auto"/>
            <w:tcMar>
              <w:top w:w="15" w:type="dxa"/>
              <w:left w:w="15" w:type="dxa"/>
              <w:right w:w="15" w:type="dxa"/>
            </w:tcMar>
            <w:vAlign w:val="center"/>
          </w:tcPr>
          <w:p w14:paraId="148CC372">
            <w:pPr>
              <w:shd w:val="clear"/>
              <w:jc w:val="left"/>
              <w:rPr>
                <w:rFonts w:hint="default" w:ascii="Times New Roman" w:hAnsi="Times New Roman" w:cs="Times New Roman" w:eastAsiaTheme="minorEastAsia"/>
                <w:color w:val="auto"/>
                <w:kern w:val="0"/>
                <w:sz w:val="18"/>
                <w:szCs w:val="18"/>
                <w:highlight w:val="none"/>
              </w:rPr>
            </w:pPr>
          </w:p>
        </w:tc>
      </w:tr>
      <w:tr w14:paraId="6BA9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117" w:type="pct"/>
            <w:gridSpan w:val="2"/>
            <w:vMerge w:val="continue"/>
            <w:shd w:val="clear" w:color="auto" w:fill="auto"/>
            <w:tcMar>
              <w:top w:w="15" w:type="dxa"/>
              <w:left w:w="15" w:type="dxa"/>
              <w:right w:w="15" w:type="dxa"/>
            </w:tcMar>
            <w:vAlign w:val="center"/>
          </w:tcPr>
          <w:p w14:paraId="5B772200">
            <w:pPr>
              <w:shd w:val="clear"/>
              <w:jc w:val="left"/>
              <w:rPr>
                <w:rFonts w:hint="default" w:ascii="Times New Roman" w:hAnsi="Times New Roman" w:cs="Times New Roman" w:eastAsiaTheme="minorEastAsia"/>
                <w:color w:val="auto"/>
                <w:kern w:val="0"/>
                <w:sz w:val="18"/>
                <w:szCs w:val="18"/>
                <w:highlight w:val="none"/>
              </w:rPr>
            </w:pPr>
          </w:p>
        </w:tc>
        <w:tc>
          <w:tcPr>
            <w:tcW w:w="411" w:type="pct"/>
            <w:gridSpan w:val="2"/>
            <w:vMerge w:val="continue"/>
            <w:shd w:val="clear" w:color="auto" w:fill="auto"/>
            <w:tcMar>
              <w:top w:w="15" w:type="dxa"/>
              <w:left w:w="15" w:type="dxa"/>
              <w:right w:w="15" w:type="dxa"/>
            </w:tcMar>
            <w:vAlign w:val="center"/>
          </w:tcPr>
          <w:p w14:paraId="6C7ACC4B">
            <w:pPr>
              <w:shd w:val="clear"/>
              <w:jc w:val="left"/>
              <w:rPr>
                <w:rFonts w:hint="default" w:ascii="Times New Roman" w:hAnsi="Times New Roman" w:cs="Times New Roman" w:eastAsiaTheme="minorEastAsia"/>
                <w:color w:val="auto"/>
                <w:kern w:val="0"/>
                <w:sz w:val="18"/>
                <w:szCs w:val="18"/>
                <w:highlight w:val="none"/>
              </w:rPr>
            </w:pPr>
          </w:p>
        </w:tc>
        <w:tc>
          <w:tcPr>
            <w:tcW w:w="1310" w:type="pct"/>
            <w:gridSpan w:val="2"/>
            <w:vMerge w:val="continue"/>
            <w:shd w:val="clear" w:color="auto" w:fill="auto"/>
            <w:tcMar>
              <w:top w:w="15" w:type="dxa"/>
              <w:left w:w="15" w:type="dxa"/>
              <w:right w:w="15" w:type="dxa"/>
            </w:tcMar>
            <w:vAlign w:val="center"/>
          </w:tcPr>
          <w:p w14:paraId="1FC35657">
            <w:pPr>
              <w:shd w:val="clear"/>
              <w:jc w:val="left"/>
              <w:rPr>
                <w:rFonts w:hint="default" w:ascii="Times New Roman" w:hAnsi="Times New Roman" w:cs="Times New Roman" w:eastAsiaTheme="minorEastAsia"/>
                <w:color w:val="auto"/>
                <w:kern w:val="0"/>
                <w:sz w:val="18"/>
                <w:szCs w:val="18"/>
                <w:highlight w:val="none"/>
              </w:rPr>
            </w:pPr>
          </w:p>
        </w:tc>
        <w:tc>
          <w:tcPr>
            <w:tcW w:w="1314" w:type="pct"/>
            <w:gridSpan w:val="2"/>
            <w:vMerge w:val="continue"/>
            <w:shd w:val="clear" w:color="auto" w:fill="auto"/>
            <w:tcMar>
              <w:top w:w="15" w:type="dxa"/>
              <w:left w:w="15" w:type="dxa"/>
              <w:right w:w="15" w:type="dxa"/>
            </w:tcMar>
            <w:vAlign w:val="center"/>
          </w:tcPr>
          <w:p w14:paraId="75E4AD6E">
            <w:pPr>
              <w:shd w:val="clear"/>
              <w:jc w:val="left"/>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4E9194EA">
            <w:pPr>
              <w:shd w:val="clear"/>
              <w:jc w:val="left"/>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559A76E2">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被查处次数</w:t>
            </w:r>
            <w:r>
              <w:rPr>
                <w:rFonts w:hint="default" w:ascii="Times New Roman" w:hAnsi="Times New Roman" w:cs="Times New Roman" w:eastAsiaTheme="minorEastAsia"/>
                <w:color w:val="auto"/>
                <w:kern w:val="0"/>
                <w:sz w:val="18"/>
                <w:szCs w:val="18"/>
                <w:highlight w:val="none"/>
                <w:lang w:val="en-US" w:eastAsia="zh-CN"/>
              </w:rPr>
              <w:t>3次以上；</w:t>
            </w:r>
          </w:p>
          <w:p w14:paraId="42FB5893">
            <w:pPr>
              <w:shd w:val="clear"/>
              <w:jc w:val="left"/>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为露天烧烤提供场地经营面积</w:t>
            </w:r>
            <w:r>
              <w:rPr>
                <w:rFonts w:hint="default" w:ascii="Times New Roman" w:hAnsi="Times New Roman" w:cs="Times New Roman" w:eastAsiaTheme="minorEastAsia"/>
                <w:color w:val="auto"/>
                <w:kern w:val="0"/>
                <w:sz w:val="18"/>
                <w:szCs w:val="18"/>
                <w:highlight w:val="none"/>
                <w:lang w:val="en-US" w:eastAsia="zh-CN"/>
              </w:rPr>
              <w:t>30平方米以上</w:t>
            </w:r>
          </w:p>
        </w:tc>
        <w:tc>
          <w:tcPr>
            <w:tcW w:w="545" w:type="pct"/>
            <w:gridSpan w:val="2"/>
            <w:shd w:val="clear" w:color="auto" w:fill="auto"/>
            <w:tcMar>
              <w:top w:w="15" w:type="dxa"/>
              <w:left w:w="15" w:type="dxa"/>
              <w:right w:w="15" w:type="dxa"/>
            </w:tcMar>
            <w:vAlign w:val="center"/>
          </w:tcPr>
          <w:p w14:paraId="0B9D9C31">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没收烧烤工具和违法所得，并处</w:t>
            </w:r>
            <w:r>
              <w:rPr>
                <w:rFonts w:hint="default" w:ascii="Times New Roman" w:hAnsi="Times New Roman" w:cs="Times New Roman" w:eastAsiaTheme="minorEastAsia"/>
                <w:color w:val="auto"/>
                <w:kern w:val="0"/>
                <w:sz w:val="18"/>
                <w:szCs w:val="18"/>
                <w:highlight w:val="none"/>
                <w:lang w:val="en-US" w:eastAsia="zh-CN"/>
              </w:rPr>
              <w:t>14150元</w:t>
            </w:r>
            <w:r>
              <w:rPr>
                <w:rFonts w:hint="default" w:ascii="Times New Roman" w:hAnsi="Times New Roman" w:cs="Times New Roman" w:eastAsiaTheme="minorEastAsia"/>
                <w:color w:val="auto"/>
                <w:kern w:val="0"/>
                <w:sz w:val="18"/>
                <w:szCs w:val="18"/>
                <w:highlight w:val="none"/>
              </w:rPr>
              <w:t>以上</w:t>
            </w:r>
            <w:r>
              <w:rPr>
                <w:rFonts w:hint="default" w:ascii="Times New Roman" w:hAnsi="Times New Roman" w:cs="Times New Roman" w:eastAsiaTheme="minorEastAsia"/>
                <w:color w:val="auto"/>
                <w:kern w:val="0"/>
                <w:sz w:val="18"/>
                <w:szCs w:val="18"/>
                <w:highlight w:val="none"/>
                <w:lang w:val="en-US" w:eastAsia="zh-CN"/>
              </w:rPr>
              <w:t>2万</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771105D2">
            <w:pPr>
              <w:shd w:val="clear"/>
              <w:jc w:val="left"/>
              <w:rPr>
                <w:rFonts w:hint="default" w:ascii="Times New Roman" w:hAnsi="Times New Roman" w:cs="Times New Roman" w:eastAsiaTheme="minorEastAsia"/>
                <w:color w:val="auto"/>
                <w:kern w:val="0"/>
                <w:sz w:val="18"/>
                <w:szCs w:val="18"/>
                <w:highlight w:val="none"/>
                <w:lang w:eastAsia="zh-CN"/>
              </w:rPr>
            </w:pPr>
          </w:p>
        </w:tc>
        <w:tc>
          <w:tcPr>
            <w:tcW w:w="390" w:type="pct"/>
            <w:gridSpan w:val="3"/>
            <w:vMerge w:val="continue"/>
            <w:shd w:val="clear" w:color="auto" w:fill="auto"/>
            <w:tcMar>
              <w:top w:w="15" w:type="dxa"/>
              <w:left w:w="15" w:type="dxa"/>
              <w:right w:w="15" w:type="dxa"/>
            </w:tcMar>
            <w:vAlign w:val="center"/>
          </w:tcPr>
          <w:p w14:paraId="008B0DE7">
            <w:pPr>
              <w:shd w:val="clear"/>
              <w:jc w:val="left"/>
              <w:rPr>
                <w:rFonts w:hint="default" w:ascii="Times New Roman" w:hAnsi="Times New Roman" w:cs="Times New Roman" w:eastAsiaTheme="minorEastAsia"/>
                <w:color w:val="auto"/>
                <w:kern w:val="0"/>
                <w:sz w:val="18"/>
                <w:szCs w:val="18"/>
                <w:highlight w:val="none"/>
              </w:rPr>
            </w:pPr>
          </w:p>
        </w:tc>
      </w:tr>
      <w:tr w14:paraId="1BA3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117" w:type="pct"/>
            <w:gridSpan w:val="2"/>
            <w:vMerge w:val="restart"/>
            <w:shd w:val="clear" w:color="auto" w:fill="auto"/>
            <w:tcMar>
              <w:top w:w="15" w:type="dxa"/>
              <w:left w:w="15" w:type="dxa"/>
              <w:right w:w="15" w:type="dxa"/>
            </w:tcMar>
            <w:vAlign w:val="center"/>
          </w:tcPr>
          <w:p w14:paraId="67F1EF14">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80</w:t>
            </w:r>
          </w:p>
        </w:tc>
        <w:tc>
          <w:tcPr>
            <w:tcW w:w="411" w:type="pct"/>
            <w:gridSpan w:val="2"/>
            <w:vMerge w:val="restart"/>
            <w:shd w:val="clear" w:color="auto" w:fill="auto"/>
            <w:tcMar>
              <w:top w:w="15" w:type="dxa"/>
              <w:left w:w="15" w:type="dxa"/>
              <w:right w:w="15" w:type="dxa"/>
            </w:tcMar>
            <w:vAlign w:val="center"/>
          </w:tcPr>
          <w:p w14:paraId="5D956599">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公共场所焚烧杂物</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0434B60B">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br w:type="textWrapping"/>
            </w:r>
            <w:r>
              <w:rPr>
                <w:rFonts w:hint="default" w:ascii="Times New Roman" w:hAnsi="Times New Roman" w:cs="Times New Roman" w:eastAsiaTheme="minorEastAsia"/>
                <w:color w:val="auto"/>
                <w:kern w:val="0"/>
                <w:sz w:val="18"/>
                <w:szCs w:val="18"/>
                <w:highlight w:val="none"/>
              </w:rPr>
              <w:t>《中华人民共和国大气污染防治法》第八十二条第一款：“禁止在人口集中地区和其他依法需要特殊保护的区域内焚烧沥青、油毡、橡胶、塑料、皮革、垃圾以及其他产生有毒有害烟尘和恶臭气体的物质。”</w:t>
            </w:r>
          </w:p>
          <w:p w14:paraId="564C6C38">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1314" w:type="pct"/>
            <w:gridSpan w:val="2"/>
            <w:vMerge w:val="restart"/>
            <w:shd w:val="clear" w:color="auto" w:fill="auto"/>
            <w:tcMar>
              <w:top w:w="15" w:type="dxa"/>
              <w:left w:w="15" w:type="dxa"/>
              <w:right w:w="15" w:type="dxa"/>
            </w:tcMar>
            <w:vAlign w:val="center"/>
          </w:tcPr>
          <w:p w14:paraId="24C3334E">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中华人民共和国大气污染防治法》第一百一十九条第二款：“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14:paraId="5F05B2B6">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1CBFFCE2">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22A43BE0">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在公共场所焚烧杂物3平方米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2F4A463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对单位处</w:t>
            </w:r>
            <w:r>
              <w:rPr>
                <w:rFonts w:hint="default" w:ascii="Times New Roman" w:hAnsi="Times New Roman" w:cs="Times New Roman" w:eastAsiaTheme="minorEastAsia"/>
                <w:color w:val="auto"/>
                <w:kern w:val="0"/>
                <w:sz w:val="18"/>
                <w:szCs w:val="18"/>
                <w:highlight w:val="none"/>
                <w:lang w:val="en-US"/>
              </w:rPr>
              <w:t>1万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3.7</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元以下的罚款，对个人处500元以上</w:t>
            </w:r>
            <w:r>
              <w:rPr>
                <w:rFonts w:hint="default" w:ascii="Times New Roman" w:hAnsi="Times New Roman" w:cs="Times New Roman" w:eastAsiaTheme="minorEastAsia"/>
                <w:color w:val="auto"/>
                <w:kern w:val="0"/>
                <w:sz w:val="18"/>
                <w:szCs w:val="18"/>
                <w:highlight w:val="none"/>
                <w:lang w:val="en-US" w:eastAsia="zh-CN"/>
              </w:rPr>
              <w:t>950</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restart"/>
            <w:shd w:val="clear" w:color="auto" w:fill="auto"/>
            <w:tcMar>
              <w:top w:w="15" w:type="dxa"/>
              <w:left w:w="15" w:type="dxa"/>
              <w:right w:w="15" w:type="dxa"/>
            </w:tcMar>
            <w:vAlign w:val="center"/>
          </w:tcPr>
          <w:p w14:paraId="3276963B">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责令改正</w:t>
            </w:r>
          </w:p>
          <w:p w14:paraId="3BB54793">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01D7122A">
            <w:pPr>
              <w:shd w:val="clear"/>
              <w:jc w:val="left"/>
              <w:rPr>
                <w:rFonts w:hint="default" w:ascii="Times New Roman" w:hAnsi="Times New Roman" w:cs="Times New Roman" w:eastAsiaTheme="minorEastAsia"/>
                <w:color w:val="auto"/>
                <w:sz w:val="18"/>
                <w:szCs w:val="18"/>
                <w:highlight w:val="none"/>
                <w:lang w:val="en-US" w:eastAsia="zh-CN"/>
              </w:rPr>
            </w:pPr>
          </w:p>
          <w:p w14:paraId="5F188138">
            <w:pPr>
              <w:shd w:val="clear"/>
              <w:jc w:val="left"/>
              <w:rPr>
                <w:rFonts w:hint="default" w:ascii="Times New Roman" w:hAnsi="Times New Roman" w:cs="Times New Roman" w:eastAsiaTheme="minorEastAsia"/>
                <w:color w:val="auto"/>
                <w:sz w:val="18"/>
                <w:szCs w:val="18"/>
                <w:highlight w:val="none"/>
                <w:lang w:val="en-US" w:eastAsia="zh-CN"/>
              </w:rPr>
            </w:pPr>
          </w:p>
        </w:tc>
      </w:tr>
      <w:tr w14:paraId="4E3C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trPr>
        <w:tc>
          <w:tcPr>
            <w:tcW w:w="117" w:type="pct"/>
            <w:gridSpan w:val="2"/>
            <w:vMerge w:val="continue"/>
            <w:shd w:val="clear" w:color="auto" w:fill="auto"/>
            <w:tcMar>
              <w:top w:w="15" w:type="dxa"/>
              <w:left w:w="15" w:type="dxa"/>
              <w:right w:w="15" w:type="dxa"/>
            </w:tcMar>
            <w:vAlign w:val="center"/>
          </w:tcPr>
          <w:p w14:paraId="27B38728">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08D29110">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64C5DCAD">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7A8423EB">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346BC1DE">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3211B33A">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在公共场所焚烧杂物3平方米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5平方米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6E6C4C0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对单位处</w:t>
            </w:r>
            <w:r>
              <w:rPr>
                <w:rFonts w:hint="default" w:ascii="Times New Roman" w:hAnsi="Times New Roman" w:cs="Times New Roman" w:eastAsiaTheme="minorEastAsia"/>
                <w:color w:val="auto"/>
                <w:kern w:val="0"/>
                <w:sz w:val="18"/>
                <w:szCs w:val="18"/>
                <w:highlight w:val="none"/>
                <w:lang w:val="en-US" w:eastAsia="zh-CN"/>
              </w:rPr>
              <w:t>3.7</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元以下的罚款，对个人处</w:t>
            </w:r>
            <w:r>
              <w:rPr>
                <w:rFonts w:hint="default" w:ascii="Times New Roman" w:hAnsi="Times New Roman" w:cs="Times New Roman" w:eastAsiaTheme="minorEastAsia"/>
                <w:color w:val="auto"/>
                <w:kern w:val="0"/>
                <w:sz w:val="18"/>
                <w:szCs w:val="18"/>
                <w:highlight w:val="none"/>
                <w:lang w:val="en-US" w:eastAsia="zh-CN"/>
              </w:rPr>
              <w:t>950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1550</w:t>
            </w:r>
            <w:r>
              <w:rPr>
                <w:rFonts w:hint="default" w:ascii="Times New Roman" w:hAnsi="Times New Roman" w:cs="Times New Roman" w:eastAsiaTheme="minorEastAsia"/>
                <w:color w:val="auto"/>
                <w:kern w:val="0"/>
                <w:sz w:val="18"/>
                <w:szCs w:val="18"/>
                <w:highlight w:val="none"/>
              </w:rPr>
              <w:t>元以下的罚款</w:t>
            </w:r>
          </w:p>
        </w:tc>
        <w:tc>
          <w:tcPr>
            <w:tcW w:w="200" w:type="pct"/>
            <w:gridSpan w:val="2"/>
            <w:vMerge w:val="continue"/>
            <w:shd w:val="clear" w:color="auto" w:fill="auto"/>
            <w:tcMar>
              <w:top w:w="15" w:type="dxa"/>
              <w:left w:w="15" w:type="dxa"/>
              <w:right w:w="15" w:type="dxa"/>
            </w:tcMar>
            <w:vAlign w:val="center"/>
          </w:tcPr>
          <w:p w14:paraId="4F25E5F2">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1D82404D">
            <w:pPr>
              <w:shd w:val="clear"/>
              <w:jc w:val="left"/>
              <w:rPr>
                <w:rFonts w:hint="default" w:ascii="Times New Roman" w:hAnsi="Times New Roman" w:cs="Times New Roman" w:eastAsiaTheme="minorEastAsia"/>
                <w:color w:val="auto"/>
                <w:sz w:val="18"/>
                <w:szCs w:val="18"/>
                <w:highlight w:val="none"/>
              </w:rPr>
            </w:pPr>
          </w:p>
        </w:tc>
      </w:tr>
      <w:tr w14:paraId="6C68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5" w:hRule="atLeast"/>
        </w:trPr>
        <w:tc>
          <w:tcPr>
            <w:tcW w:w="117" w:type="pct"/>
            <w:gridSpan w:val="2"/>
            <w:vMerge w:val="continue"/>
            <w:shd w:val="clear" w:color="auto" w:fill="auto"/>
            <w:tcMar>
              <w:top w:w="15" w:type="dxa"/>
              <w:left w:w="15" w:type="dxa"/>
              <w:right w:w="15" w:type="dxa"/>
            </w:tcMar>
            <w:vAlign w:val="center"/>
          </w:tcPr>
          <w:p w14:paraId="5BF713E9">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0083B3AB">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07FD42C4">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590F1F56">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61239619">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27627EDF">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在公共场所焚烧杂物5平方米</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7355E8B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对单位处</w:t>
            </w:r>
            <w:r>
              <w:rPr>
                <w:rFonts w:hint="default" w:ascii="Times New Roman" w:hAnsi="Times New Roman" w:cs="Times New Roman" w:eastAsiaTheme="minorEastAsia"/>
                <w:color w:val="auto"/>
                <w:kern w:val="0"/>
                <w:sz w:val="18"/>
                <w:szCs w:val="18"/>
                <w:highlight w:val="none"/>
                <w:lang w:val="en-US" w:eastAsia="zh-CN"/>
              </w:rPr>
              <w:t>7.3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元以下的罚款，对个人处</w:t>
            </w:r>
            <w:r>
              <w:rPr>
                <w:rFonts w:hint="default" w:ascii="Times New Roman" w:hAnsi="Times New Roman" w:cs="Times New Roman" w:eastAsiaTheme="minorEastAsia"/>
                <w:color w:val="auto"/>
                <w:kern w:val="0"/>
                <w:sz w:val="18"/>
                <w:szCs w:val="18"/>
                <w:highlight w:val="none"/>
                <w:lang w:val="en-US" w:eastAsia="zh-CN"/>
              </w:rPr>
              <w:t>1550</w:t>
            </w:r>
            <w:r>
              <w:rPr>
                <w:rFonts w:hint="default" w:ascii="Times New Roman" w:hAnsi="Times New Roman" w:cs="Times New Roman" w:eastAsiaTheme="minorEastAsia"/>
                <w:color w:val="auto"/>
                <w:kern w:val="0"/>
                <w:sz w:val="18"/>
                <w:szCs w:val="18"/>
                <w:highlight w:val="none"/>
              </w:rPr>
              <w:t>元以上2000元以下的罚款</w:t>
            </w:r>
          </w:p>
        </w:tc>
        <w:tc>
          <w:tcPr>
            <w:tcW w:w="200" w:type="pct"/>
            <w:gridSpan w:val="2"/>
            <w:vMerge w:val="continue"/>
            <w:shd w:val="clear" w:color="auto" w:fill="auto"/>
            <w:tcMar>
              <w:top w:w="15" w:type="dxa"/>
              <w:left w:w="15" w:type="dxa"/>
              <w:right w:w="15" w:type="dxa"/>
            </w:tcMar>
            <w:vAlign w:val="center"/>
          </w:tcPr>
          <w:p w14:paraId="61214553">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155A7FF6">
            <w:pPr>
              <w:shd w:val="clear"/>
              <w:jc w:val="left"/>
              <w:rPr>
                <w:rFonts w:hint="default" w:ascii="Times New Roman" w:hAnsi="Times New Roman" w:cs="Times New Roman" w:eastAsiaTheme="minorEastAsia"/>
                <w:color w:val="auto"/>
                <w:sz w:val="18"/>
                <w:szCs w:val="18"/>
                <w:highlight w:val="none"/>
              </w:rPr>
            </w:pPr>
          </w:p>
        </w:tc>
      </w:tr>
      <w:tr w14:paraId="5093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117" w:type="pct"/>
            <w:gridSpan w:val="2"/>
            <w:vMerge w:val="restart"/>
            <w:shd w:val="clear" w:color="auto" w:fill="auto"/>
            <w:tcMar>
              <w:top w:w="15" w:type="dxa"/>
              <w:left w:w="15" w:type="dxa"/>
              <w:right w:w="15" w:type="dxa"/>
            </w:tcMar>
            <w:vAlign w:val="center"/>
          </w:tcPr>
          <w:p w14:paraId="70F242FF">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81</w:t>
            </w:r>
          </w:p>
        </w:tc>
        <w:tc>
          <w:tcPr>
            <w:tcW w:w="411" w:type="pct"/>
            <w:gridSpan w:val="2"/>
            <w:vMerge w:val="restart"/>
            <w:shd w:val="clear" w:color="auto" w:fill="auto"/>
            <w:tcMar>
              <w:top w:w="15" w:type="dxa"/>
              <w:left w:w="15" w:type="dxa"/>
              <w:right w:w="15" w:type="dxa"/>
            </w:tcMar>
            <w:vAlign w:val="center"/>
          </w:tcPr>
          <w:p w14:paraId="0DBBEF96">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拒绝、阻挠监督检查，或者在接受监督检查时弄虚作假的</w:t>
            </w:r>
          </w:p>
        </w:tc>
        <w:tc>
          <w:tcPr>
            <w:tcW w:w="1310" w:type="pct"/>
            <w:gridSpan w:val="2"/>
            <w:vMerge w:val="restart"/>
            <w:shd w:val="clear" w:color="auto" w:fill="auto"/>
            <w:tcMar>
              <w:top w:w="15" w:type="dxa"/>
              <w:left w:w="15" w:type="dxa"/>
              <w:right w:w="15" w:type="dxa"/>
            </w:tcMar>
            <w:vAlign w:val="center"/>
          </w:tcPr>
          <w:p w14:paraId="76914B59">
            <w:pPr>
              <w:widowControl/>
              <w:numPr>
                <w:ilvl w:val="255"/>
                <w:numId w:val="0"/>
              </w:numPr>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eastAsia="zh-CN"/>
              </w:rPr>
              <w:t>《中华人民共和国噪声污染防治法》第二十九条第一款：“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tc>
        <w:tc>
          <w:tcPr>
            <w:tcW w:w="1314" w:type="pct"/>
            <w:gridSpan w:val="2"/>
            <w:vMerge w:val="restart"/>
            <w:shd w:val="clear" w:color="auto" w:fill="auto"/>
            <w:tcMar>
              <w:top w:w="15" w:type="dxa"/>
              <w:left w:w="15" w:type="dxa"/>
              <w:right w:w="15" w:type="dxa"/>
            </w:tcMar>
            <w:vAlign w:val="center"/>
          </w:tcPr>
          <w:p w14:paraId="64907CC7">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eastAsia="zh-CN"/>
              </w:rPr>
              <w:t>《中华人民共和国噪声污染防治法》第七十一条：“违反本法规定，拒绝、阻挠监督检查，或者在接受监督检查时弄虚作假的，由生态环境主管部门或者其他负有噪声污染防治监督管理职责的部门责令改正，处二万元以上二十万元以下的罚款。”</w:t>
            </w:r>
          </w:p>
        </w:tc>
        <w:tc>
          <w:tcPr>
            <w:tcW w:w="177" w:type="pct"/>
            <w:gridSpan w:val="2"/>
            <w:shd w:val="clear" w:color="auto" w:fill="auto"/>
            <w:tcMar>
              <w:top w:w="15" w:type="dxa"/>
              <w:left w:w="15" w:type="dxa"/>
              <w:right w:w="15" w:type="dxa"/>
            </w:tcMar>
            <w:vAlign w:val="center"/>
          </w:tcPr>
          <w:p w14:paraId="689376CC">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665D51EB">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初次被查处</w:t>
            </w:r>
          </w:p>
        </w:tc>
        <w:tc>
          <w:tcPr>
            <w:tcW w:w="545" w:type="pct"/>
            <w:gridSpan w:val="2"/>
            <w:shd w:val="clear" w:color="auto" w:fill="auto"/>
            <w:tcMar>
              <w:top w:w="15" w:type="dxa"/>
              <w:left w:w="15" w:type="dxa"/>
              <w:right w:w="15" w:type="dxa"/>
            </w:tcMar>
            <w:vAlign w:val="center"/>
          </w:tcPr>
          <w:p w14:paraId="2FCBECE6">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处</w:t>
            </w:r>
            <w:r>
              <w:rPr>
                <w:rFonts w:hint="default" w:ascii="Times New Roman" w:hAnsi="Times New Roman" w:cs="Times New Roman" w:eastAsiaTheme="minorEastAsia"/>
                <w:color w:val="auto"/>
                <w:kern w:val="0"/>
                <w:sz w:val="18"/>
                <w:szCs w:val="18"/>
                <w:highlight w:val="none"/>
                <w:lang w:val="en-US" w:eastAsia="zh-CN"/>
              </w:rPr>
              <w:t>2万元以上7.4万元以下罚款</w:t>
            </w:r>
          </w:p>
        </w:tc>
        <w:tc>
          <w:tcPr>
            <w:tcW w:w="200" w:type="pct"/>
            <w:gridSpan w:val="2"/>
            <w:vMerge w:val="restart"/>
            <w:shd w:val="clear" w:color="auto" w:fill="auto"/>
            <w:tcMar>
              <w:top w:w="15" w:type="dxa"/>
              <w:left w:w="15" w:type="dxa"/>
              <w:right w:w="15" w:type="dxa"/>
            </w:tcMar>
            <w:vAlign w:val="center"/>
          </w:tcPr>
          <w:p w14:paraId="1355D119">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责令改正</w:t>
            </w:r>
          </w:p>
        </w:tc>
        <w:tc>
          <w:tcPr>
            <w:tcW w:w="390" w:type="pct"/>
            <w:gridSpan w:val="3"/>
            <w:vMerge w:val="restart"/>
            <w:shd w:val="clear" w:color="auto" w:fill="auto"/>
            <w:tcMar>
              <w:top w:w="15" w:type="dxa"/>
              <w:left w:w="15" w:type="dxa"/>
              <w:right w:w="15" w:type="dxa"/>
            </w:tcMar>
            <w:vAlign w:val="center"/>
          </w:tcPr>
          <w:p w14:paraId="3AC51269">
            <w:pPr>
              <w:shd w:val="clear"/>
              <w:jc w:val="left"/>
              <w:rPr>
                <w:rFonts w:hint="default" w:ascii="Times New Roman" w:hAnsi="Times New Roman" w:cs="Times New Roman" w:eastAsiaTheme="minorEastAsia"/>
                <w:color w:val="auto"/>
                <w:sz w:val="18"/>
                <w:szCs w:val="18"/>
                <w:highlight w:val="none"/>
                <w:lang w:val="en-US" w:eastAsia="zh-CN"/>
              </w:rPr>
            </w:pPr>
          </w:p>
        </w:tc>
      </w:tr>
      <w:tr w14:paraId="3EFE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117" w:type="pct"/>
            <w:gridSpan w:val="2"/>
            <w:vMerge w:val="continue"/>
            <w:shd w:val="clear" w:color="auto" w:fill="auto"/>
            <w:tcMar>
              <w:top w:w="15" w:type="dxa"/>
              <w:left w:w="15" w:type="dxa"/>
              <w:right w:w="15" w:type="dxa"/>
            </w:tcMar>
            <w:vAlign w:val="center"/>
          </w:tcPr>
          <w:p w14:paraId="66F002B1">
            <w:pPr>
              <w:widowControl/>
              <w:shd w:val="clear"/>
              <w:jc w:val="left"/>
              <w:textAlignment w:val="center"/>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0F9031C5">
            <w:pPr>
              <w:widowControl/>
              <w:shd w:val="clear"/>
              <w:jc w:val="left"/>
              <w:textAlignment w:val="center"/>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39A7FC79">
            <w:pPr>
              <w:widowControl/>
              <w:shd w:val="clear"/>
              <w:jc w:val="left"/>
              <w:textAlignment w:val="center"/>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7270BBA4">
            <w:pPr>
              <w:widowControl/>
              <w:shd w:val="clear"/>
              <w:jc w:val="left"/>
              <w:textAlignment w:val="center"/>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231195D0">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tcMar>
              <w:top w:w="15" w:type="dxa"/>
              <w:left w:w="15" w:type="dxa"/>
              <w:right w:w="15" w:type="dxa"/>
            </w:tcMar>
            <w:vAlign w:val="center"/>
          </w:tcPr>
          <w:p w14:paraId="20B04032">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val="en-US" w:eastAsia="zh-CN"/>
              </w:rPr>
              <w:t>2</w:t>
            </w:r>
            <w:r>
              <w:rPr>
                <w:rFonts w:hint="default" w:ascii="Times New Roman" w:hAnsi="Times New Roman" w:cs="Times New Roman" w:eastAsiaTheme="minorEastAsia"/>
                <w:color w:val="auto"/>
                <w:kern w:val="0"/>
                <w:sz w:val="18"/>
                <w:szCs w:val="18"/>
                <w:highlight w:val="none"/>
                <w:lang w:eastAsia="zh-CN"/>
              </w:rPr>
              <w:t>次被查处</w:t>
            </w:r>
          </w:p>
        </w:tc>
        <w:tc>
          <w:tcPr>
            <w:tcW w:w="545" w:type="pct"/>
            <w:gridSpan w:val="2"/>
            <w:shd w:val="clear" w:color="auto" w:fill="auto"/>
            <w:tcMar>
              <w:top w:w="15" w:type="dxa"/>
              <w:left w:w="15" w:type="dxa"/>
              <w:right w:w="15" w:type="dxa"/>
            </w:tcMar>
            <w:vAlign w:val="center"/>
          </w:tcPr>
          <w:p w14:paraId="21C46476">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处</w:t>
            </w:r>
            <w:r>
              <w:rPr>
                <w:rFonts w:hint="default" w:ascii="Times New Roman" w:hAnsi="Times New Roman" w:cs="Times New Roman" w:eastAsiaTheme="minorEastAsia"/>
                <w:color w:val="auto"/>
                <w:kern w:val="0"/>
                <w:sz w:val="18"/>
                <w:szCs w:val="18"/>
                <w:highlight w:val="none"/>
                <w:lang w:val="en-US" w:eastAsia="zh-CN"/>
              </w:rPr>
              <w:t>7.4万元以上14.6万元以下罚款</w:t>
            </w:r>
          </w:p>
        </w:tc>
        <w:tc>
          <w:tcPr>
            <w:tcW w:w="200" w:type="pct"/>
            <w:gridSpan w:val="2"/>
            <w:vMerge w:val="continue"/>
            <w:shd w:val="clear" w:color="auto" w:fill="auto"/>
            <w:tcMar>
              <w:top w:w="15" w:type="dxa"/>
              <w:left w:w="15" w:type="dxa"/>
              <w:right w:w="15" w:type="dxa"/>
            </w:tcMar>
            <w:vAlign w:val="center"/>
          </w:tcPr>
          <w:p w14:paraId="20B872DB">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390" w:type="pct"/>
            <w:gridSpan w:val="3"/>
            <w:vMerge w:val="continue"/>
            <w:shd w:val="clear" w:color="auto" w:fill="auto"/>
            <w:tcMar>
              <w:top w:w="15" w:type="dxa"/>
              <w:left w:w="15" w:type="dxa"/>
              <w:right w:w="15" w:type="dxa"/>
            </w:tcMar>
            <w:vAlign w:val="center"/>
          </w:tcPr>
          <w:p w14:paraId="54F3E92B">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r>
      <w:tr w14:paraId="134C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117" w:type="pct"/>
            <w:gridSpan w:val="2"/>
            <w:vMerge w:val="continue"/>
            <w:shd w:val="clear" w:color="auto" w:fill="auto"/>
            <w:tcMar>
              <w:top w:w="15" w:type="dxa"/>
              <w:left w:w="15" w:type="dxa"/>
              <w:right w:w="15" w:type="dxa"/>
            </w:tcMar>
            <w:vAlign w:val="center"/>
          </w:tcPr>
          <w:p w14:paraId="3675D76F">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411" w:type="pct"/>
            <w:gridSpan w:val="2"/>
            <w:vMerge w:val="continue"/>
            <w:shd w:val="clear" w:color="auto" w:fill="auto"/>
            <w:tcMar>
              <w:top w:w="15" w:type="dxa"/>
              <w:left w:w="15" w:type="dxa"/>
              <w:right w:w="15" w:type="dxa"/>
            </w:tcMar>
            <w:vAlign w:val="center"/>
          </w:tcPr>
          <w:p w14:paraId="7C1BEDE0">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1310" w:type="pct"/>
            <w:gridSpan w:val="2"/>
            <w:vMerge w:val="continue"/>
            <w:shd w:val="clear" w:color="auto" w:fill="auto"/>
            <w:tcMar>
              <w:top w:w="15" w:type="dxa"/>
              <w:left w:w="15" w:type="dxa"/>
              <w:right w:w="15" w:type="dxa"/>
            </w:tcMar>
            <w:vAlign w:val="center"/>
          </w:tcPr>
          <w:p w14:paraId="13409551">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1314" w:type="pct"/>
            <w:gridSpan w:val="2"/>
            <w:vMerge w:val="continue"/>
            <w:shd w:val="clear" w:color="auto" w:fill="auto"/>
            <w:tcMar>
              <w:top w:w="15" w:type="dxa"/>
              <w:left w:w="15" w:type="dxa"/>
              <w:right w:w="15" w:type="dxa"/>
            </w:tcMar>
            <w:vAlign w:val="center"/>
          </w:tcPr>
          <w:p w14:paraId="578461F1">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177" w:type="pct"/>
            <w:gridSpan w:val="2"/>
            <w:shd w:val="clear" w:color="auto" w:fill="auto"/>
            <w:tcMar>
              <w:top w:w="15" w:type="dxa"/>
              <w:left w:w="15" w:type="dxa"/>
              <w:right w:w="15" w:type="dxa"/>
            </w:tcMar>
            <w:vAlign w:val="center"/>
          </w:tcPr>
          <w:p w14:paraId="78F0CC65">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376B2569">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被查处次数</w:t>
            </w:r>
            <w:r>
              <w:rPr>
                <w:rFonts w:hint="default" w:ascii="Times New Roman" w:hAnsi="Times New Roman" w:cs="Times New Roman" w:eastAsiaTheme="minorEastAsia"/>
                <w:color w:val="auto"/>
                <w:kern w:val="0"/>
                <w:sz w:val="18"/>
                <w:szCs w:val="18"/>
                <w:highlight w:val="none"/>
                <w:lang w:val="en-US" w:eastAsia="zh-CN"/>
              </w:rPr>
              <w:t>3次以上；</w:t>
            </w:r>
          </w:p>
          <w:p w14:paraId="1D7C6E6C">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造成执法人员人身伤害、证据资料灭失；</w:t>
            </w:r>
          </w:p>
          <w:p w14:paraId="1CCE60FB">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val="en-US" w:eastAsia="zh-CN"/>
              </w:rPr>
              <w:t>引发网络舆情事件、群体性事件等影响社会稳定</w:t>
            </w:r>
          </w:p>
        </w:tc>
        <w:tc>
          <w:tcPr>
            <w:tcW w:w="545" w:type="pct"/>
            <w:gridSpan w:val="2"/>
            <w:shd w:val="clear" w:color="auto" w:fill="auto"/>
            <w:tcMar>
              <w:top w:w="15" w:type="dxa"/>
              <w:left w:w="15" w:type="dxa"/>
              <w:right w:w="15" w:type="dxa"/>
            </w:tcMar>
            <w:vAlign w:val="center"/>
          </w:tcPr>
          <w:p w14:paraId="7A685570">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处</w:t>
            </w:r>
            <w:r>
              <w:rPr>
                <w:rFonts w:hint="default" w:ascii="Times New Roman" w:hAnsi="Times New Roman" w:cs="Times New Roman" w:eastAsiaTheme="minorEastAsia"/>
                <w:color w:val="auto"/>
                <w:kern w:val="0"/>
                <w:sz w:val="18"/>
                <w:szCs w:val="18"/>
                <w:highlight w:val="none"/>
                <w:lang w:val="en-US" w:eastAsia="zh-CN"/>
              </w:rPr>
              <w:t>14.6万元以上20万元以下罚款</w:t>
            </w:r>
          </w:p>
        </w:tc>
        <w:tc>
          <w:tcPr>
            <w:tcW w:w="200" w:type="pct"/>
            <w:gridSpan w:val="2"/>
            <w:vMerge w:val="continue"/>
            <w:shd w:val="clear" w:color="auto" w:fill="auto"/>
            <w:tcMar>
              <w:top w:w="15" w:type="dxa"/>
              <w:left w:w="15" w:type="dxa"/>
              <w:right w:w="15" w:type="dxa"/>
            </w:tcMar>
            <w:vAlign w:val="center"/>
          </w:tcPr>
          <w:p w14:paraId="2DF54CE7">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390" w:type="pct"/>
            <w:gridSpan w:val="3"/>
            <w:vMerge w:val="continue"/>
            <w:shd w:val="clear" w:color="auto" w:fill="auto"/>
            <w:tcMar>
              <w:top w:w="15" w:type="dxa"/>
              <w:left w:w="15" w:type="dxa"/>
              <w:right w:w="15" w:type="dxa"/>
            </w:tcMar>
            <w:vAlign w:val="center"/>
          </w:tcPr>
          <w:p w14:paraId="68456E64">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r>
      <w:tr w14:paraId="6680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trPr>
        <w:tc>
          <w:tcPr>
            <w:tcW w:w="117" w:type="pct"/>
            <w:gridSpan w:val="2"/>
            <w:vMerge w:val="restart"/>
            <w:shd w:val="clear" w:color="auto" w:fill="auto"/>
            <w:tcMar>
              <w:top w:w="15" w:type="dxa"/>
              <w:left w:w="15" w:type="dxa"/>
              <w:right w:w="15" w:type="dxa"/>
            </w:tcMar>
            <w:vAlign w:val="center"/>
          </w:tcPr>
          <w:p w14:paraId="76AAC016">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82</w:t>
            </w:r>
          </w:p>
        </w:tc>
        <w:tc>
          <w:tcPr>
            <w:tcW w:w="411" w:type="pct"/>
            <w:gridSpan w:val="2"/>
            <w:vMerge w:val="restart"/>
            <w:shd w:val="clear" w:color="auto" w:fill="auto"/>
            <w:tcMar>
              <w:top w:w="15" w:type="dxa"/>
              <w:left w:w="15" w:type="dxa"/>
              <w:right w:w="15" w:type="dxa"/>
            </w:tcMar>
            <w:vAlign w:val="center"/>
          </w:tcPr>
          <w:p w14:paraId="256266FF">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超过噪声排放标准排放建筑施工噪声</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72D80DA4">
            <w:pPr>
              <w:widowControl/>
              <w:numPr>
                <w:ilvl w:val="255"/>
                <w:numId w:val="0"/>
              </w:numPr>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《中华人民共和国噪声污染防治法》第二十二条第一款：“排放噪声、产生振动，应当符合噪声排放标准以及相关的环境振动控制标准和有关法律、法规、规章的要求。”</w:t>
            </w:r>
          </w:p>
        </w:tc>
        <w:tc>
          <w:tcPr>
            <w:tcW w:w="1314" w:type="pct"/>
            <w:gridSpan w:val="2"/>
            <w:vMerge w:val="restart"/>
            <w:shd w:val="clear" w:color="auto" w:fill="auto"/>
            <w:tcMar>
              <w:top w:w="15" w:type="dxa"/>
              <w:left w:w="15" w:type="dxa"/>
              <w:right w:w="15" w:type="dxa"/>
            </w:tcMar>
            <w:vAlign w:val="center"/>
          </w:tcPr>
          <w:p w14:paraId="44DCB482">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《中华人民共和国噪声污染防治法》第七十七条</w:t>
            </w:r>
            <w:r>
              <w:rPr>
                <w:rFonts w:hint="default" w:ascii="Times New Roman" w:hAnsi="Times New Roman" w:cs="Times New Roman" w:eastAsiaTheme="minorEastAsia"/>
                <w:color w:val="auto"/>
                <w:kern w:val="0"/>
                <w:sz w:val="18"/>
                <w:szCs w:val="18"/>
                <w:highlight w:val="none"/>
                <w:lang w:val="en-US" w:eastAsia="zh-CN"/>
              </w:rPr>
              <w:t>第一项</w:t>
            </w:r>
            <w:r>
              <w:rPr>
                <w:rFonts w:hint="default" w:ascii="Times New Roman" w:hAnsi="Times New Roman" w:cs="Times New Roman" w:eastAsiaTheme="minorEastAsia"/>
                <w:color w:val="auto"/>
                <w:kern w:val="0"/>
                <w:sz w:val="18"/>
                <w:szCs w:val="18"/>
                <w:highlight w:val="none"/>
              </w:rPr>
              <w:t>：“违反本法规定，建设单位、施工单位有下列行为之一，由工程所在地人民政府指定的部门责令改正，处一万元以上十万元以下的罚款；拒不改正的，可以责令暂停施工：（一）超过噪声排放标准排放建筑施工噪声的；”</w:t>
            </w:r>
          </w:p>
        </w:tc>
        <w:tc>
          <w:tcPr>
            <w:tcW w:w="177" w:type="pct"/>
            <w:gridSpan w:val="2"/>
            <w:shd w:val="clear" w:color="auto" w:fill="auto"/>
            <w:tcMar>
              <w:top w:w="15" w:type="dxa"/>
              <w:left w:w="15" w:type="dxa"/>
              <w:right w:w="15" w:type="dxa"/>
            </w:tcMar>
            <w:vAlign w:val="center"/>
          </w:tcPr>
          <w:p w14:paraId="05286D42">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602889EC">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超过排放标准限值</w:t>
            </w:r>
            <w:r>
              <w:rPr>
                <w:rFonts w:hint="default" w:ascii="Times New Roman" w:hAnsi="Times New Roman" w:cs="Times New Roman" w:eastAsiaTheme="minorEastAsia"/>
                <w:color w:val="auto"/>
                <w:kern w:val="0"/>
                <w:sz w:val="18"/>
                <w:szCs w:val="18"/>
                <w:highlight w:val="none"/>
                <w:lang w:val="en-US" w:eastAsia="zh-CN"/>
              </w:rPr>
              <w:t>5</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04D6C9CF">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1万</w:t>
            </w:r>
            <w:r>
              <w:rPr>
                <w:rFonts w:hint="default" w:ascii="Times New Roman" w:hAnsi="Times New Roman" w:cs="Times New Roman" w:eastAsiaTheme="minorEastAsia"/>
                <w:color w:val="auto"/>
                <w:kern w:val="0"/>
                <w:sz w:val="18"/>
                <w:szCs w:val="18"/>
                <w:highlight w:val="none"/>
              </w:rPr>
              <w:t>元以上3</w:t>
            </w:r>
            <w:r>
              <w:rPr>
                <w:rFonts w:hint="default" w:ascii="Times New Roman" w:hAnsi="Times New Roman" w:cs="Times New Roman" w:eastAsiaTheme="minorEastAsia"/>
                <w:color w:val="auto"/>
                <w:kern w:val="0"/>
                <w:sz w:val="18"/>
                <w:szCs w:val="18"/>
                <w:highlight w:val="none"/>
                <w:lang w:val="en-US" w:eastAsia="zh-CN"/>
              </w:rPr>
              <w:t>.7万</w:t>
            </w:r>
            <w:r>
              <w:rPr>
                <w:rFonts w:hint="default" w:ascii="Times New Roman" w:hAnsi="Times New Roman" w:cs="Times New Roman" w:eastAsiaTheme="minorEastAsia"/>
                <w:color w:val="auto"/>
                <w:kern w:val="0"/>
                <w:sz w:val="18"/>
                <w:szCs w:val="18"/>
                <w:highlight w:val="none"/>
              </w:rPr>
              <w:t>元以下罚款；拒不改正的，可以责令暂停施工</w:t>
            </w:r>
          </w:p>
        </w:tc>
        <w:tc>
          <w:tcPr>
            <w:tcW w:w="200" w:type="pct"/>
            <w:gridSpan w:val="2"/>
            <w:vMerge w:val="restart"/>
            <w:shd w:val="clear" w:color="auto" w:fill="auto"/>
            <w:tcMar>
              <w:top w:w="15" w:type="dxa"/>
              <w:left w:w="15" w:type="dxa"/>
              <w:right w:w="15" w:type="dxa"/>
            </w:tcMar>
            <w:vAlign w:val="center"/>
          </w:tcPr>
          <w:p w14:paraId="78D6A294">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责令改正</w:t>
            </w:r>
          </w:p>
        </w:tc>
        <w:tc>
          <w:tcPr>
            <w:tcW w:w="390" w:type="pct"/>
            <w:gridSpan w:val="3"/>
            <w:vMerge w:val="restart"/>
            <w:shd w:val="clear" w:color="auto" w:fill="auto"/>
            <w:tcMar>
              <w:top w:w="15" w:type="dxa"/>
              <w:left w:w="15" w:type="dxa"/>
              <w:right w:w="15" w:type="dxa"/>
            </w:tcMar>
            <w:vAlign w:val="center"/>
          </w:tcPr>
          <w:p w14:paraId="63E1CA1A">
            <w:pPr>
              <w:shd w:val="clear"/>
              <w:jc w:val="left"/>
              <w:rPr>
                <w:rFonts w:hint="default" w:ascii="Times New Roman" w:hAnsi="Times New Roman" w:cs="Times New Roman" w:eastAsiaTheme="minorEastAsia"/>
                <w:color w:val="auto"/>
                <w:sz w:val="18"/>
                <w:szCs w:val="18"/>
                <w:highlight w:val="none"/>
                <w:lang w:val="en-US" w:eastAsia="zh-CN"/>
              </w:rPr>
            </w:pPr>
          </w:p>
        </w:tc>
      </w:tr>
      <w:tr w14:paraId="1C37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trPr>
        <w:tc>
          <w:tcPr>
            <w:tcW w:w="117" w:type="pct"/>
            <w:gridSpan w:val="2"/>
            <w:vMerge w:val="continue"/>
            <w:shd w:val="clear" w:color="auto" w:fill="auto"/>
            <w:tcMar>
              <w:top w:w="15" w:type="dxa"/>
              <w:left w:w="15" w:type="dxa"/>
              <w:right w:w="15" w:type="dxa"/>
            </w:tcMar>
            <w:vAlign w:val="center"/>
          </w:tcPr>
          <w:p w14:paraId="6D537BD9">
            <w:pPr>
              <w:shd w:val="clear"/>
              <w:jc w:val="left"/>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3A133D85">
            <w:pPr>
              <w:shd w:val="clear"/>
              <w:jc w:val="left"/>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1043EB84">
            <w:pPr>
              <w:shd w:val="clear"/>
              <w:jc w:val="left"/>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3347AD75">
            <w:pPr>
              <w:shd w:val="clear"/>
              <w:jc w:val="left"/>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52291686">
            <w:pPr>
              <w:shd w:val="clear"/>
              <w:jc w:val="left"/>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tcMar>
              <w:top w:w="15" w:type="dxa"/>
              <w:left w:w="15" w:type="dxa"/>
              <w:right w:w="15" w:type="dxa"/>
            </w:tcMar>
            <w:vAlign w:val="center"/>
          </w:tcPr>
          <w:p w14:paraId="163FCD05">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超过排放标准限值</w:t>
            </w:r>
            <w:r>
              <w:rPr>
                <w:rFonts w:hint="default" w:ascii="Times New Roman" w:hAnsi="Times New Roman" w:cs="Times New Roman" w:eastAsiaTheme="minorEastAsia"/>
                <w:color w:val="auto"/>
                <w:kern w:val="0"/>
                <w:sz w:val="18"/>
                <w:szCs w:val="18"/>
                <w:highlight w:val="none"/>
                <w:lang w:val="en-US" w:eastAsia="zh-CN"/>
              </w:rPr>
              <w:t>5</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lang w:val="en-US" w:eastAsia="zh-CN"/>
              </w:rPr>
              <w:t>10</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10F2F0BA">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3.7万</w:t>
            </w:r>
            <w:r>
              <w:rPr>
                <w:rFonts w:hint="default" w:ascii="Times New Roman" w:hAnsi="Times New Roman" w:cs="Times New Roman" w:eastAsiaTheme="minorEastAsia"/>
                <w:color w:val="auto"/>
                <w:kern w:val="0"/>
                <w:sz w:val="18"/>
                <w:szCs w:val="18"/>
                <w:highlight w:val="none"/>
              </w:rPr>
              <w:t>元以上7</w:t>
            </w:r>
            <w:r>
              <w:rPr>
                <w:rFonts w:hint="default" w:ascii="Times New Roman" w:hAnsi="Times New Roman" w:cs="Times New Roman" w:eastAsiaTheme="minorEastAsia"/>
                <w:color w:val="auto"/>
                <w:kern w:val="0"/>
                <w:sz w:val="18"/>
                <w:szCs w:val="18"/>
                <w:highlight w:val="none"/>
                <w:lang w:val="en-US" w:eastAsia="zh-CN"/>
              </w:rPr>
              <w:t>.3万</w:t>
            </w:r>
            <w:r>
              <w:rPr>
                <w:rFonts w:hint="default" w:ascii="Times New Roman" w:hAnsi="Times New Roman" w:cs="Times New Roman" w:eastAsiaTheme="minorEastAsia"/>
                <w:color w:val="auto"/>
                <w:kern w:val="0"/>
                <w:sz w:val="18"/>
                <w:szCs w:val="18"/>
                <w:highlight w:val="none"/>
              </w:rPr>
              <w:t>元以下罚款；拒不改正的，可以责令暂停施工</w:t>
            </w:r>
          </w:p>
        </w:tc>
        <w:tc>
          <w:tcPr>
            <w:tcW w:w="200" w:type="pct"/>
            <w:gridSpan w:val="2"/>
            <w:vMerge w:val="continue"/>
            <w:shd w:val="clear" w:color="auto" w:fill="auto"/>
            <w:tcMar>
              <w:top w:w="15" w:type="dxa"/>
              <w:left w:w="15" w:type="dxa"/>
              <w:right w:w="15" w:type="dxa"/>
            </w:tcMar>
            <w:vAlign w:val="center"/>
          </w:tcPr>
          <w:p w14:paraId="1FFCFFEF">
            <w:pPr>
              <w:shd w:val="clear"/>
              <w:jc w:val="left"/>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05E48B44">
            <w:pPr>
              <w:shd w:val="clear"/>
              <w:jc w:val="left"/>
              <w:rPr>
                <w:rFonts w:hint="default" w:ascii="Times New Roman" w:hAnsi="Times New Roman" w:cs="Times New Roman" w:eastAsiaTheme="minorEastAsia"/>
                <w:color w:val="auto"/>
                <w:kern w:val="0"/>
                <w:sz w:val="18"/>
                <w:szCs w:val="18"/>
                <w:highlight w:val="none"/>
              </w:rPr>
            </w:pPr>
          </w:p>
        </w:tc>
      </w:tr>
      <w:tr w14:paraId="6342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trPr>
        <w:tc>
          <w:tcPr>
            <w:tcW w:w="117" w:type="pct"/>
            <w:gridSpan w:val="2"/>
            <w:vMerge w:val="continue"/>
            <w:shd w:val="clear" w:color="auto" w:fill="auto"/>
            <w:tcMar>
              <w:top w:w="15" w:type="dxa"/>
              <w:left w:w="15" w:type="dxa"/>
              <w:right w:w="15" w:type="dxa"/>
            </w:tcMar>
            <w:vAlign w:val="center"/>
          </w:tcPr>
          <w:p w14:paraId="1FF0EDF0">
            <w:pPr>
              <w:shd w:val="clear"/>
              <w:jc w:val="left"/>
              <w:rPr>
                <w:rFonts w:hint="default" w:ascii="Times New Roman" w:hAnsi="Times New Roman" w:cs="Times New Roman" w:eastAsiaTheme="minorEastAsia"/>
                <w:color w:val="auto"/>
                <w:kern w:val="0"/>
                <w:sz w:val="18"/>
                <w:szCs w:val="18"/>
                <w:highlight w:val="none"/>
              </w:rPr>
            </w:pPr>
          </w:p>
        </w:tc>
        <w:tc>
          <w:tcPr>
            <w:tcW w:w="411" w:type="pct"/>
            <w:gridSpan w:val="2"/>
            <w:vMerge w:val="continue"/>
            <w:shd w:val="clear" w:color="auto" w:fill="auto"/>
            <w:tcMar>
              <w:top w:w="15" w:type="dxa"/>
              <w:left w:w="15" w:type="dxa"/>
              <w:right w:w="15" w:type="dxa"/>
            </w:tcMar>
            <w:vAlign w:val="center"/>
          </w:tcPr>
          <w:p w14:paraId="04F18C43">
            <w:pPr>
              <w:shd w:val="clear"/>
              <w:jc w:val="left"/>
              <w:rPr>
                <w:rFonts w:hint="default" w:ascii="Times New Roman" w:hAnsi="Times New Roman" w:cs="Times New Roman" w:eastAsiaTheme="minorEastAsia"/>
                <w:color w:val="auto"/>
                <w:kern w:val="0"/>
                <w:sz w:val="18"/>
                <w:szCs w:val="18"/>
                <w:highlight w:val="none"/>
              </w:rPr>
            </w:pPr>
          </w:p>
        </w:tc>
        <w:tc>
          <w:tcPr>
            <w:tcW w:w="1310" w:type="pct"/>
            <w:gridSpan w:val="2"/>
            <w:vMerge w:val="continue"/>
            <w:shd w:val="clear" w:color="auto" w:fill="auto"/>
            <w:tcMar>
              <w:top w:w="15" w:type="dxa"/>
              <w:left w:w="15" w:type="dxa"/>
              <w:right w:w="15" w:type="dxa"/>
            </w:tcMar>
            <w:vAlign w:val="center"/>
          </w:tcPr>
          <w:p w14:paraId="63F6F377">
            <w:pPr>
              <w:shd w:val="clear"/>
              <w:jc w:val="left"/>
              <w:rPr>
                <w:rFonts w:hint="default" w:ascii="Times New Roman" w:hAnsi="Times New Roman" w:cs="Times New Roman" w:eastAsiaTheme="minorEastAsia"/>
                <w:color w:val="auto"/>
                <w:kern w:val="0"/>
                <w:sz w:val="18"/>
                <w:szCs w:val="18"/>
                <w:highlight w:val="none"/>
              </w:rPr>
            </w:pPr>
          </w:p>
        </w:tc>
        <w:tc>
          <w:tcPr>
            <w:tcW w:w="1314" w:type="pct"/>
            <w:gridSpan w:val="2"/>
            <w:vMerge w:val="continue"/>
            <w:shd w:val="clear" w:color="auto" w:fill="auto"/>
            <w:tcMar>
              <w:top w:w="15" w:type="dxa"/>
              <w:left w:w="15" w:type="dxa"/>
              <w:right w:w="15" w:type="dxa"/>
            </w:tcMar>
            <w:vAlign w:val="center"/>
          </w:tcPr>
          <w:p w14:paraId="389EB652">
            <w:pPr>
              <w:shd w:val="clear"/>
              <w:jc w:val="left"/>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5DEA9E24">
            <w:pPr>
              <w:shd w:val="clear"/>
              <w:jc w:val="left"/>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57AF7333">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eastAsia="zh-CN"/>
              </w:rPr>
              <w:t>超过排放标准限值</w:t>
            </w:r>
            <w:r>
              <w:rPr>
                <w:rFonts w:hint="default" w:ascii="Times New Roman" w:hAnsi="Times New Roman" w:cs="Times New Roman" w:eastAsiaTheme="minorEastAsia"/>
                <w:color w:val="auto"/>
                <w:kern w:val="0"/>
                <w:sz w:val="18"/>
                <w:szCs w:val="18"/>
                <w:highlight w:val="none"/>
                <w:lang w:val="en-US" w:eastAsia="zh-CN"/>
              </w:rPr>
              <w:t>10%以上</w:t>
            </w:r>
          </w:p>
        </w:tc>
        <w:tc>
          <w:tcPr>
            <w:tcW w:w="545" w:type="pct"/>
            <w:gridSpan w:val="2"/>
            <w:shd w:val="clear" w:color="auto" w:fill="auto"/>
            <w:tcMar>
              <w:top w:w="15" w:type="dxa"/>
              <w:left w:w="15" w:type="dxa"/>
              <w:right w:w="15" w:type="dxa"/>
            </w:tcMar>
            <w:vAlign w:val="center"/>
          </w:tcPr>
          <w:p w14:paraId="03E822B8">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7.3万</w:t>
            </w:r>
            <w:r>
              <w:rPr>
                <w:rFonts w:hint="default" w:ascii="Times New Roman" w:hAnsi="Times New Roman" w:cs="Times New Roman" w:eastAsiaTheme="minorEastAsia"/>
                <w:color w:val="auto"/>
                <w:kern w:val="0"/>
                <w:sz w:val="18"/>
                <w:szCs w:val="18"/>
                <w:highlight w:val="none"/>
              </w:rPr>
              <w:t>元以上10</w:t>
            </w:r>
            <w:r>
              <w:rPr>
                <w:rFonts w:hint="default" w:ascii="Times New Roman" w:hAnsi="Times New Roman" w:cs="Times New Roman" w:eastAsiaTheme="minorEastAsia"/>
                <w:color w:val="auto"/>
                <w:kern w:val="0"/>
                <w:sz w:val="18"/>
                <w:szCs w:val="18"/>
                <w:highlight w:val="none"/>
                <w:lang w:val="en-US" w:eastAsia="zh-CN"/>
              </w:rPr>
              <w:t>万</w:t>
            </w:r>
            <w:r>
              <w:rPr>
                <w:rFonts w:hint="default" w:ascii="Times New Roman" w:hAnsi="Times New Roman" w:cs="Times New Roman" w:eastAsiaTheme="minorEastAsia"/>
                <w:color w:val="auto"/>
                <w:kern w:val="0"/>
                <w:sz w:val="18"/>
                <w:szCs w:val="18"/>
                <w:highlight w:val="none"/>
              </w:rPr>
              <w:t>元以下罚款；拒不改正的，可以责令暂停施工</w:t>
            </w:r>
          </w:p>
        </w:tc>
        <w:tc>
          <w:tcPr>
            <w:tcW w:w="200" w:type="pct"/>
            <w:gridSpan w:val="2"/>
            <w:vMerge w:val="continue"/>
            <w:shd w:val="clear" w:color="auto" w:fill="auto"/>
            <w:tcMar>
              <w:top w:w="15" w:type="dxa"/>
              <w:left w:w="15" w:type="dxa"/>
              <w:right w:w="15" w:type="dxa"/>
            </w:tcMar>
            <w:vAlign w:val="center"/>
          </w:tcPr>
          <w:p w14:paraId="25D0E749">
            <w:pPr>
              <w:shd w:val="clear"/>
              <w:jc w:val="left"/>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2E590648">
            <w:pPr>
              <w:shd w:val="clear"/>
              <w:jc w:val="left"/>
              <w:rPr>
                <w:rFonts w:hint="default" w:ascii="Times New Roman" w:hAnsi="Times New Roman" w:cs="Times New Roman" w:eastAsiaTheme="minorEastAsia"/>
                <w:color w:val="auto"/>
                <w:kern w:val="0"/>
                <w:sz w:val="18"/>
                <w:szCs w:val="18"/>
                <w:highlight w:val="none"/>
              </w:rPr>
            </w:pPr>
          </w:p>
        </w:tc>
      </w:tr>
      <w:tr w14:paraId="06D2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0" w:hRule="atLeast"/>
        </w:trPr>
        <w:tc>
          <w:tcPr>
            <w:tcW w:w="117" w:type="pct"/>
            <w:gridSpan w:val="2"/>
            <w:vMerge w:val="restart"/>
            <w:shd w:val="clear" w:color="auto" w:fill="auto"/>
            <w:tcMar>
              <w:top w:w="15" w:type="dxa"/>
              <w:left w:w="15" w:type="dxa"/>
              <w:right w:w="15" w:type="dxa"/>
            </w:tcMar>
            <w:vAlign w:val="center"/>
          </w:tcPr>
          <w:p w14:paraId="01950A4F">
            <w:pPr>
              <w:widowControl/>
              <w:shd w:val="clear"/>
              <w:jc w:val="center"/>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83</w:t>
            </w:r>
          </w:p>
        </w:tc>
        <w:tc>
          <w:tcPr>
            <w:tcW w:w="411" w:type="pct"/>
            <w:gridSpan w:val="2"/>
            <w:vMerge w:val="restart"/>
            <w:shd w:val="clear" w:color="auto" w:fill="auto"/>
            <w:tcMar>
              <w:top w:w="15" w:type="dxa"/>
              <w:left w:w="15" w:type="dxa"/>
              <w:right w:w="15" w:type="dxa"/>
            </w:tcMar>
            <w:vAlign w:val="center"/>
          </w:tcPr>
          <w:p w14:paraId="0CA6FA3A">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未按照规定取得证明，在噪声敏感建筑物集中区域夜间进行产生噪声的建筑施工作业的（抢修、抢险施工作业，因生产工艺要求或者其他特殊需要必须连续施工作业的除外）</w:t>
            </w:r>
          </w:p>
        </w:tc>
        <w:tc>
          <w:tcPr>
            <w:tcW w:w="1310" w:type="pct"/>
            <w:gridSpan w:val="2"/>
            <w:vMerge w:val="restart"/>
            <w:shd w:val="clear" w:color="auto" w:fill="auto"/>
            <w:tcMar>
              <w:top w:w="15" w:type="dxa"/>
              <w:left w:w="15" w:type="dxa"/>
              <w:right w:w="15" w:type="dxa"/>
            </w:tcMar>
            <w:vAlign w:val="center"/>
          </w:tcPr>
          <w:p w14:paraId="01985F1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中华人民共和国噪声污染防治法》第四十三条第一款：“在噪声敏感建筑物集中区域，禁止夜间进行产生噪声的建筑施工作业，但抢修、抢险施工作业，因生产工艺要求或者其他特殊需要必须连续施工作业的除外。”　第八十八条：“本法中下列用语的含义：（二）夜间，是指晚上十点至次日早晨六点之间的期间，设区的市级以上人民政府可以另行规定本行政区域夜间的起止时间，夜间时段长度为八小时；”</w:t>
            </w:r>
          </w:p>
        </w:tc>
        <w:tc>
          <w:tcPr>
            <w:tcW w:w="1314" w:type="pct"/>
            <w:gridSpan w:val="2"/>
            <w:vMerge w:val="restart"/>
            <w:shd w:val="clear" w:color="auto" w:fill="auto"/>
            <w:tcMar>
              <w:top w:w="15" w:type="dxa"/>
              <w:left w:w="15" w:type="dxa"/>
              <w:right w:w="15" w:type="dxa"/>
            </w:tcMar>
            <w:vAlign w:val="center"/>
          </w:tcPr>
          <w:p w14:paraId="189A9396">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《中华人民共和国噪声污染防治法》第七十七条</w:t>
            </w:r>
            <w:r>
              <w:rPr>
                <w:rFonts w:hint="default" w:ascii="Times New Roman" w:hAnsi="Times New Roman" w:cs="Times New Roman" w:eastAsiaTheme="minorEastAsia"/>
                <w:color w:val="auto"/>
                <w:kern w:val="0"/>
                <w:sz w:val="18"/>
                <w:szCs w:val="18"/>
                <w:highlight w:val="none"/>
                <w:lang w:val="en-US" w:eastAsia="zh-CN"/>
              </w:rPr>
              <w:t>第二项</w:t>
            </w:r>
            <w:r>
              <w:rPr>
                <w:rFonts w:hint="default" w:ascii="Times New Roman" w:hAnsi="Times New Roman" w:cs="Times New Roman" w:eastAsiaTheme="minorEastAsia"/>
                <w:color w:val="auto"/>
                <w:kern w:val="0"/>
                <w:sz w:val="18"/>
                <w:szCs w:val="18"/>
                <w:highlight w:val="none"/>
              </w:rPr>
              <w:t>：“　违反本法规定，建设单位、施工单位有下列行为之一，由工程所在地人民政府指定的部门责令改正，处一万元以上十万元以下的罚款；拒不改正的，可以责令暂停施工：（二）未按照规定取得证明，在噪声敏感建筑物集中区域夜间进行产生噪声的建筑施工作业的。”</w:t>
            </w:r>
          </w:p>
        </w:tc>
        <w:tc>
          <w:tcPr>
            <w:tcW w:w="177" w:type="pct"/>
            <w:gridSpan w:val="2"/>
            <w:shd w:val="clear" w:color="auto" w:fill="auto"/>
            <w:tcMar>
              <w:top w:w="15" w:type="dxa"/>
              <w:left w:w="15" w:type="dxa"/>
              <w:right w:w="15" w:type="dxa"/>
            </w:tcMar>
            <w:vAlign w:val="center"/>
          </w:tcPr>
          <w:p w14:paraId="69AB0A0B">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516C524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施工作业时间在</w:t>
            </w:r>
            <w:r>
              <w:rPr>
                <w:rFonts w:hint="default" w:ascii="Times New Roman" w:hAnsi="Times New Roman" w:cs="Times New Roman" w:eastAsiaTheme="minorEastAsia"/>
                <w:color w:val="auto"/>
                <w:kern w:val="0"/>
                <w:sz w:val="18"/>
                <w:szCs w:val="18"/>
                <w:highlight w:val="none"/>
                <w:lang w:val="en-US" w:eastAsia="zh-CN"/>
              </w:rPr>
              <w:t>22：00至23：00</w:t>
            </w:r>
            <w:r>
              <w:rPr>
                <w:rFonts w:hint="default" w:ascii="Times New Roman" w:hAnsi="Times New Roman" w:cs="Times New Roman" w:eastAsiaTheme="minorEastAsia"/>
                <w:color w:val="auto"/>
                <w:kern w:val="0"/>
                <w:sz w:val="18"/>
                <w:szCs w:val="18"/>
                <w:highlight w:val="none"/>
              </w:rPr>
              <w:t>之间</w:t>
            </w:r>
          </w:p>
        </w:tc>
        <w:tc>
          <w:tcPr>
            <w:tcW w:w="545" w:type="pct"/>
            <w:gridSpan w:val="2"/>
            <w:shd w:val="clear" w:color="auto" w:fill="auto"/>
            <w:tcMar>
              <w:top w:w="15" w:type="dxa"/>
              <w:left w:w="15" w:type="dxa"/>
              <w:right w:w="15" w:type="dxa"/>
            </w:tcMar>
            <w:vAlign w:val="center"/>
          </w:tcPr>
          <w:p w14:paraId="05893D5A">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处以</w:t>
            </w:r>
            <w:r>
              <w:rPr>
                <w:rFonts w:hint="default" w:ascii="Times New Roman" w:hAnsi="Times New Roman" w:cs="Times New Roman" w:eastAsiaTheme="minorEastAsia"/>
                <w:color w:val="auto"/>
                <w:kern w:val="0"/>
                <w:sz w:val="18"/>
                <w:szCs w:val="18"/>
                <w:highlight w:val="none"/>
                <w:lang w:val="en-US" w:eastAsia="zh-CN"/>
              </w:rPr>
              <w:t>1万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3.7万</w:t>
            </w:r>
            <w:r>
              <w:rPr>
                <w:rFonts w:hint="default" w:ascii="Times New Roman" w:hAnsi="Times New Roman" w:cs="Times New Roman" w:eastAsiaTheme="minorEastAsia"/>
                <w:color w:val="auto"/>
                <w:kern w:val="0"/>
                <w:sz w:val="18"/>
                <w:szCs w:val="18"/>
                <w:highlight w:val="none"/>
              </w:rPr>
              <w:t>元以下罚款；拒不改正的，可以责令暂停施工</w:t>
            </w:r>
          </w:p>
        </w:tc>
        <w:tc>
          <w:tcPr>
            <w:tcW w:w="200" w:type="pct"/>
            <w:gridSpan w:val="2"/>
            <w:vMerge w:val="restart"/>
            <w:shd w:val="clear" w:color="auto" w:fill="auto"/>
            <w:tcMar>
              <w:top w:w="15" w:type="dxa"/>
              <w:left w:w="15" w:type="dxa"/>
              <w:right w:w="15" w:type="dxa"/>
            </w:tcMar>
            <w:vAlign w:val="center"/>
          </w:tcPr>
          <w:p w14:paraId="5A7BCCF8">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责令改正</w:t>
            </w:r>
          </w:p>
          <w:p w14:paraId="5F37F207">
            <w:pPr>
              <w:widowControl/>
              <w:shd w:val="clear"/>
              <w:jc w:val="left"/>
              <w:textAlignment w:val="center"/>
              <w:rPr>
                <w:rFonts w:hint="default" w:ascii="Times New Roman" w:hAnsi="Times New Roman" w:cs="Times New Roman" w:eastAsiaTheme="minorEastAsia"/>
                <w:color w:val="auto"/>
                <w:sz w:val="18"/>
                <w:szCs w:val="18"/>
                <w:highlight w:val="none"/>
              </w:rPr>
            </w:pPr>
          </w:p>
          <w:p w14:paraId="0C1E3C0B">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restart"/>
            <w:shd w:val="clear" w:color="auto" w:fill="auto"/>
            <w:tcMar>
              <w:top w:w="15" w:type="dxa"/>
              <w:left w:w="15" w:type="dxa"/>
              <w:right w:w="15" w:type="dxa"/>
            </w:tcMar>
            <w:vAlign w:val="center"/>
          </w:tcPr>
          <w:p w14:paraId="24BFF6D1">
            <w:pPr>
              <w:shd w:val="clear"/>
              <w:jc w:val="left"/>
              <w:rPr>
                <w:rFonts w:hint="default" w:ascii="Times New Roman" w:hAnsi="Times New Roman" w:cs="Times New Roman" w:eastAsiaTheme="minorEastAsia"/>
                <w:color w:val="auto"/>
                <w:sz w:val="18"/>
                <w:szCs w:val="18"/>
                <w:highlight w:val="none"/>
                <w:lang w:val="en-US" w:eastAsia="zh-CN"/>
              </w:rPr>
            </w:pPr>
          </w:p>
        </w:tc>
      </w:tr>
      <w:tr w14:paraId="59CC8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117" w:type="pct"/>
            <w:gridSpan w:val="2"/>
            <w:vMerge w:val="continue"/>
            <w:shd w:val="clear" w:color="auto" w:fill="auto"/>
            <w:tcMar>
              <w:top w:w="15" w:type="dxa"/>
              <w:left w:w="15" w:type="dxa"/>
              <w:right w:w="15" w:type="dxa"/>
            </w:tcMar>
            <w:vAlign w:val="center"/>
          </w:tcPr>
          <w:p w14:paraId="7C6B9CD2">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5A594652">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6A19D23D">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14130D2D">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15FEB540">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706C6D9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施工作业时间在</w:t>
            </w:r>
            <w:r>
              <w:rPr>
                <w:rFonts w:hint="default" w:ascii="Times New Roman" w:hAnsi="Times New Roman" w:cs="Times New Roman" w:eastAsiaTheme="minorEastAsia"/>
                <w:color w:val="auto"/>
                <w:kern w:val="0"/>
                <w:sz w:val="18"/>
                <w:szCs w:val="18"/>
                <w:highlight w:val="none"/>
                <w:lang w:val="en-US" w:eastAsia="zh-CN"/>
              </w:rPr>
              <w:t>23：00至24：00</w:t>
            </w:r>
            <w:r>
              <w:rPr>
                <w:rFonts w:hint="default" w:ascii="Times New Roman" w:hAnsi="Times New Roman" w:cs="Times New Roman" w:eastAsiaTheme="minorEastAsia"/>
                <w:color w:val="auto"/>
                <w:kern w:val="0"/>
                <w:sz w:val="18"/>
                <w:szCs w:val="18"/>
                <w:highlight w:val="none"/>
              </w:rPr>
              <w:t>之间</w:t>
            </w:r>
          </w:p>
        </w:tc>
        <w:tc>
          <w:tcPr>
            <w:tcW w:w="545" w:type="pct"/>
            <w:gridSpan w:val="2"/>
            <w:shd w:val="clear" w:color="auto" w:fill="auto"/>
            <w:tcMar>
              <w:top w:w="15" w:type="dxa"/>
              <w:left w:w="15" w:type="dxa"/>
              <w:right w:w="15" w:type="dxa"/>
            </w:tcMar>
            <w:vAlign w:val="center"/>
          </w:tcPr>
          <w:p w14:paraId="4A5DF48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处以</w:t>
            </w:r>
            <w:r>
              <w:rPr>
                <w:rFonts w:hint="default" w:ascii="Times New Roman" w:hAnsi="Times New Roman" w:cs="Times New Roman" w:eastAsiaTheme="minorEastAsia"/>
                <w:color w:val="auto"/>
                <w:kern w:val="0"/>
                <w:sz w:val="18"/>
                <w:szCs w:val="18"/>
                <w:highlight w:val="none"/>
                <w:lang w:val="en-US" w:eastAsia="zh-CN"/>
              </w:rPr>
              <w:t>3.7万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7.3万</w:t>
            </w:r>
            <w:r>
              <w:rPr>
                <w:rFonts w:hint="default" w:ascii="Times New Roman" w:hAnsi="Times New Roman" w:cs="Times New Roman" w:eastAsiaTheme="minorEastAsia"/>
                <w:color w:val="auto"/>
                <w:kern w:val="0"/>
                <w:sz w:val="18"/>
                <w:szCs w:val="18"/>
                <w:highlight w:val="none"/>
              </w:rPr>
              <w:t>元以下罚款；拒不改正的，可以责令暂停施工</w:t>
            </w:r>
          </w:p>
        </w:tc>
        <w:tc>
          <w:tcPr>
            <w:tcW w:w="200" w:type="pct"/>
            <w:gridSpan w:val="2"/>
            <w:vMerge w:val="continue"/>
            <w:shd w:val="clear" w:color="auto" w:fill="auto"/>
            <w:tcMar>
              <w:top w:w="15" w:type="dxa"/>
              <w:left w:w="15" w:type="dxa"/>
              <w:right w:w="15" w:type="dxa"/>
            </w:tcMar>
            <w:vAlign w:val="center"/>
          </w:tcPr>
          <w:p w14:paraId="5C8B5717">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6D933123">
            <w:pPr>
              <w:shd w:val="clear"/>
              <w:jc w:val="left"/>
              <w:rPr>
                <w:rFonts w:hint="default" w:ascii="Times New Roman" w:hAnsi="Times New Roman" w:cs="Times New Roman" w:eastAsiaTheme="minorEastAsia"/>
                <w:color w:val="auto"/>
                <w:sz w:val="18"/>
                <w:szCs w:val="18"/>
                <w:highlight w:val="none"/>
              </w:rPr>
            </w:pPr>
          </w:p>
        </w:tc>
      </w:tr>
      <w:tr w14:paraId="67101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5" w:hRule="atLeast"/>
        </w:trPr>
        <w:tc>
          <w:tcPr>
            <w:tcW w:w="117" w:type="pct"/>
            <w:gridSpan w:val="2"/>
            <w:vMerge w:val="continue"/>
            <w:shd w:val="clear" w:color="auto" w:fill="auto"/>
            <w:tcMar>
              <w:top w:w="15" w:type="dxa"/>
              <w:left w:w="15" w:type="dxa"/>
              <w:right w:w="15" w:type="dxa"/>
            </w:tcMar>
            <w:vAlign w:val="center"/>
          </w:tcPr>
          <w:p w14:paraId="47C0A961">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1CC41A10">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065A8541">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5E26DB17">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391DA203">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67DBFC67">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施工作业时间在</w:t>
            </w:r>
            <w:r>
              <w:rPr>
                <w:rFonts w:hint="default" w:ascii="Times New Roman" w:hAnsi="Times New Roman" w:cs="Times New Roman" w:eastAsiaTheme="minorEastAsia"/>
                <w:color w:val="auto"/>
                <w:kern w:val="0"/>
                <w:sz w:val="18"/>
                <w:szCs w:val="18"/>
                <w:highlight w:val="none"/>
                <w:lang w:val="en-US" w:eastAsia="zh-CN"/>
              </w:rPr>
              <w:t>24：00至6：00之间</w:t>
            </w:r>
            <w:r>
              <w:rPr>
                <w:rFonts w:hint="default" w:ascii="Times New Roman" w:hAnsi="Times New Roman" w:cs="Times New Roman" w:eastAsiaTheme="minorEastAsia"/>
                <w:color w:val="auto"/>
                <w:kern w:val="0"/>
                <w:sz w:val="18"/>
                <w:szCs w:val="18"/>
                <w:highlight w:val="none"/>
                <w:lang w:eastAsia="zh-CN"/>
              </w:rPr>
              <w:t>；</w:t>
            </w:r>
          </w:p>
          <w:p w14:paraId="48A1A12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在举行中等学校招生考试、高等学校招生统一考试等特殊活动期间违法</w:t>
            </w:r>
          </w:p>
        </w:tc>
        <w:tc>
          <w:tcPr>
            <w:tcW w:w="545" w:type="pct"/>
            <w:gridSpan w:val="2"/>
            <w:shd w:val="clear" w:color="auto" w:fill="auto"/>
            <w:tcMar>
              <w:top w:w="15" w:type="dxa"/>
              <w:left w:w="15" w:type="dxa"/>
              <w:right w:w="15" w:type="dxa"/>
            </w:tcMar>
            <w:vAlign w:val="center"/>
          </w:tcPr>
          <w:p w14:paraId="6758316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处以</w:t>
            </w:r>
            <w:r>
              <w:rPr>
                <w:rFonts w:hint="default" w:ascii="Times New Roman" w:hAnsi="Times New Roman" w:cs="Times New Roman" w:eastAsiaTheme="minorEastAsia"/>
                <w:color w:val="auto"/>
                <w:kern w:val="0"/>
                <w:sz w:val="18"/>
                <w:szCs w:val="18"/>
                <w:highlight w:val="none"/>
                <w:lang w:val="en-US" w:eastAsia="zh-CN"/>
              </w:rPr>
              <w:t>7.3万</w:t>
            </w:r>
            <w:r>
              <w:rPr>
                <w:rFonts w:hint="default" w:ascii="Times New Roman" w:hAnsi="Times New Roman" w:cs="Times New Roman" w:eastAsiaTheme="minorEastAsia"/>
                <w:color w:val="auto"/>
                <w:kern w:val="0"/>
                <w:sz w:val="18"/>
                <w:szCs w:val="18"/>
                <w:highlight w:val="none"/>
              </w:rPr>
              <w:t>元以上1</w:t>
            </w:r>
            <w:r>
              <w:rPr>
                <w:rFonts w:hint="default" w:ascii="Times New Roman" w:hAnsi="Times New Roman" w:cs="Times New Roman" w:eastAsiaTheme="minorEastAsia"/>
                <w:color w:val="auto"/>
                <w:kern w:val="0"/>
                <w:sz w:val="18"/>
                <w:szCs w:val="18"/>
                <w:highlight w:val="none"/>
                <w:lang w:val="en-US" w:eastAsia="zh-CN"/>
              </w:rPr>
              <w:t>0万</w:t>
            </w:r>
            <w:r>
              <w:rPr>
                <w:rFonts w:hint="default" w:ascii="Times New Roman" w:hAnsi="Times New Roman" w:cs="Times New Roman" w:eastAsiaTheme="minorEastAsia"/>
                <w:color w:val="auto"/>
                <w:kern w:val="0"/>
                <w:sz w:val="18"/>
                <w:szCs w:val="18"/>
                <w:highlight w:val="none"/>
              </w:rPr>
              <w:t>元以下罚款；拒不改正的，可以责令暂停施工</w:t>
            </w:r>
          </w:p>
        </w:tc>
        <w:tc>
          <w:tcPr>
            <w:tcW w:w="200" w:type="pct"/>
            <w:gridSpan w:val="2"/>
            <w:vMerge w:val="continue"/>
            <w:shd w:val="clear" w:color="auto" w:fill="auto"/>
            <w:tcMar>
              <w:top w:w="15" w:type="dxa"/>
              <w:left w:w="15" w:type="dxa"/>
              <w:right w:w="15" w:type="dxa"/>
            </w:tcMar>
            <w:vAlign w:val="center"/>
          </w:tcPr>
          <w:p w14:paraId="3366E41D">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90" w:type="pct"/>
            <w:gridSpan w:val="3"/>
            <w:vMerge w:val="continue"/>
            <w:shd w:val="clear" w:color="auto" w:fill="auto"/>
            <w:tcMar>
              <w:top w:w="15" w:type="dxa"/>
              <w:left w:w="15" w:type="dxa"/>
              <w:right w:w="15" w:type="dxa"/>
            </w:tcMar>
            <w:vAlign w:val="center"/>
          </w:tcPr>
          <w:p w14:paraId="1ED6285E">
            <w:pPr>
              <w:shd w:val="clear"/>
              <w:jc w:val="left"/>
              <w:rPr>
                <w:rFonts w:hint="default" w:ascii="Times New Roman" w:hAnsi="Times New Roman" w:cs="Times New Roman" w:eastAsiaTheme="minorEastAsia"/>
                <w:color w:val="auto"/>
                <w:sz w:val="18"/>
                <w:szCs w:val="18"/>
                <w:highlight w:val="none"/>
              </w:rPr>
            </w:pPr>
          </w:p>
        </w:tc>
      </w:tr>
      <w:tr w14:paraId="0B86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117" w:type="pct"/>
            <w:gridSpan w:val="2"/>
            <w:vMerge w:val="restart"/>
            <w:shd w:val="clear" w:color="auto" w:fill="auto"/>
            <w:tcMar>
              <w:top w:w="15" w:type="dxa"/>
              <w:left w:w="15" w:type="dxa"/>
              <w:right w:w="15" w:type="dxa"/>
            </w:tcMar>
            <w:vAlign w:val="center"/>
          </w:tcPr>
          <w:p w14:paraId="7916EB3B">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84</w:t>
            </w:r>
          </w:p>
        </w:tc>
        <w:tc>
          <w:tcPr>
            <w:tcW w:w="411" w:type="pct"/>
            <w:gridSpan w:val="2"/>
            <w:vMerge w:val="restart"/>
            <w:shd w:val="clear" w:color="auto" w:fill="auto"/>
            <w:tcMar>
              <w:top w:w="15" w:type="dxa"/>
              <w:left w:w="15" w:type="dxa"/>
              <w:right w:w="15" w:type="dxa"/>
            </w:tcMar>
            <w:vAlign w:val="center"/>
          </w:tcPr>
          <w:p w14:paraId="12535716">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施工单位未按照规定制定噪声污染防治实施方案，或者未采取有效措施减少振动、降低噪声的</w:t>
            </w:r>
          </w:p>
        </w:tc>
        <w:tc>
          <w:tcPr>
            <w:tcW w:w="1310" w:type="pct"/>
            <w:gridSpan w:val="2"/>
            <w:vMerge w:val="restart"/>
            <w:shd w:val="clear" w:color="auto" w:fill="auto"/>
            <w:tcMar>
              <w:top w:w="15" w:type="dxa"/>
              <w:left w:w="15" w:type="dxa"/>
              <w:right w:w="15" w:type="dxa"/>
            </w:tcMar>
            <w:vAlign w:val="center"/>
          </w:tcPr>
          <w:p w14:paraId="4F9F17FD">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《中华人民共和国噪声污染防治法》第四十条</w:t>
            </w:r>
            <w:r>
              <w:rPr>
                <w:rFonts w:hint="default" w:ascii="Times New Roman" w:hAnsi="Times New Roman" w:cs="Times New Roman" w:eastAsiaTheme="minorEastAsia"/>
                <w:color w:val="auto"/>
                <w:kern w:val="0"/>
                <w:sz w:val="18"/>
                <w:szCs w:val="18"/>
                <w:highlight w:val="none"/>
                <w:lang w:val="en-US" w:eastAsia="zh-CN"/>
              </w:rPr>
              <w:t>第二款：“</w:t>
            </w:r>
            <w:r>
              <w:rPr>
                <w:rFonts w:hint="default" w:ascii="Times New Roman" w:hAnsi="Times New Roman" w:cs="Times New Roman" w:eastAsiaTheme="minorEastAsia"/>
                <w:color w:val="auto"/>
                <w:kern w:val="0"/>
                <w:sz w:val="18"/>
                <w:szCs w:val="18"/>
                <w:highlight w:val="none"/>
              </w:rPr>
              <w:t>施工单位应当按照规定制定噪声污染防治实施方案，采取有效措施，减少振动、降低噪声。建设单位应当监督施工单位落实噪声污染防治实施方案。</w:t>
            </w:r>
            <w:r>
              <w:rPr>
                <w:rFonts w:hint="default" w:ascii="Times New Roman" w:hAnsi="Times New Roman" w:cs="Times New Roman" w:eastAsiaTheme="minorEastAsia"/>
                <w:color w:val="auto"/>
                <w:kern w:val="0"/>
                <w:sz w:val="18"/>
                <w:szCs w:val="18"/>
                <w:highlight w:val="none"/>
                <w:lang w:eastAsia="zh-CN"/>
              </w:rPr>
              <w:t>”</w:t>
            </w:r>
          </w:p>
        </w:tc>
        <w:tc>
          <w:tcPr>
            <w:tcW w:w="1314" w:type="pct"/>
            <w:gridSpan w:val="2"/>
            <w:vMerge w:val="restart"/>
            <w:shd w:val="clear" w:color="auto" w:fill="auto"/>
            <w:tcMar>
              <w:top w:w="15" w:type="dxa"/>
              <w:left w:w="15" w:type="dxa"/>
              <w:right w:w="15" w:type="dxa"/>
            </w:tcMar>
            <w:vAlign w:val="center"/>
          </w:tcPr>
          <w:p w14:paraId="73AA2B60">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《中华人民共和国噪声污染防治法》第七十八条</w:t>
            </w:r>
            <w:r>
              <w:rPr>
                <w:rFonts w:hint="default" w:ascii="Times New Roman" w:hAnsi="Times New Roman" w:cs="Times New Roman" w:eastAsiaTheme="minorEastAsia"/>
                <w:color w:val="auto"/>
                <w:kern w:val="0"/>
                <w:sz w:val="18"/>
                <w:szCs w:val="18"/>
                <w:highlight w:val="none"/>
                <w:lang w:val="en-US" w:eastAsia="zh-CN"/>
              </w:rPr>
              <w:t>第二项</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违反本法规定，有下列行为之一，由工程所在地人民政府指定的部门责令改正，处五千元以上五万元以下的罚款；拒不改正的，处五万元以上二十万元以下的罚款：（二）施工单位未按照规定制定噪声污染防治实施方案，或者未采取有效措施减少振动、降低噪声的；</w:t>
            </w:r>
            <w:r>
              <w:rPr>
                <w:rFonts w:hint="default" w:ascii="Times New Roman" w:hAnsi="Times New Roman" w:cs="Times New Roman" w:eastAsiaTheme="minorEastAsia"/>
                <w:color w:val="auto"/>
                <w:kern w:val="0"/>
                <w:sz w:val="18"/>
                <w:szCs w:val="18"/>
                <w:highlight w:val="none"/>
                <w:lang w:eastAsia="zh-CN"/>
              </w:rPr>
              <w:t>”</w:t>
            </w:r>
          </w:p>
        </w:tc>
        <w:tc>
          <w:tcPr>
            <w:tcW w:w="177" w:type="pct"/>
            <w:gridSpan w:val="2"/>
            <w:shd w:val="clear" w:color="auto" w:fill="auto"/>
            <w:tcMar>
              <w:top w:w="15" w:type="dxa"/>
              <w:left w:w="15" w:type="dxa"/>
              <w:right w:w="15" w:type="dxa"/>
            </w:tcMar>
            <w:vAlign w:val="center"/>
          </w:tcPr>
          <w:p w14:paraId="64F150AF">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1E752C40">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工程位于3类、4类声环境功能区</w:t>
            </w:r>
          </w:p>
        </w:tc>
        <w:tc>
          <w:tcPr>
            <w:tcW w:w="545" w:type="pct"/>
            <w:gridSpan w:val="2"/>
            <w:shd w:val="clear" w:color="auto" w:fill="auto"/>
            <w:tcMar>
              <w:top w:w="15" w:type="dxa"/>
              <w:left w:w="15" w:type="dxa"/>
              <w:right w:w="15" w:type="dxa"/>
            </w:tcMar>
            <w:vAlign w:val="center"/>
          </w:tcPr>
          <w:p w14:paraId="155EE758">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处5000元以上1.85万元以下的罚款；</w:t>
            </w:r>
          </w:p>
          <w:p w14:paraId="2497B957">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拒不改正的，处5万元以上9.5万元以下的罚款</w:t>
            </w:r>
          </w:p>
        </w:tc>
        <w:tc>
          <w:tcPr>
            <w:tcW w:w="200" w:type="pct"/>
            <w:gridSpan w:val="2"/>
            <w:vMerge w:val="restart"/>
            <w:shd w:val="clear" w:color="auto" w:fill="auto"/>
            <w:tcMar>
              <w:top w:w="15" w:type="dxa"/>
              <w:left w:w="15" w:type="dxa"/>
              <w:right w:w="15" w:type="dxa"/>
            </w:tcMar>
            <w:vAlign w:val="center"/>
          </w:tcPr>
          <w:p w14:paraId="798AE404">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责令改正</w:t>
            </w:r>
          </w:p>
        </w:tc>
        <w:tc>
          <w:tcPr>
            <w:tcW w:w="390" w:type="pct"/>
            <w:gridSpan w:val="3"/>
            <w:vMerge w:val="restart"/>
            <w:shd w:val="clear" w:color="auto" w:fill="auto"/>
            <w:tcMar>
              <w:top w:w="15" w:type="dxa"/>
              <w:left w:w="15" w:type="dxa"/>
              <w:right w:w="15" w:type="dxa"/>
            </w:tcMar>
            <w:vAlign w:val="center"/>
          </w:tcPr>
          <w:p w14:paraId="0F4CC267">
            <w:pPr>
              <w:shd w:val="clear"/>
              <w:jc w:val="left"/>
              <w:rPr>
                <w:rFonts w:hint="default" w:ascii="Times New Roman" w:hAnsi="Times New Roman" w:cs="Times New Roman" w:eastAsiaTheme="minorEastAsia"/>
                <w:color w:val="auto"/>
                <w:sz w:val="18"/>
                <w:szCs w:val="18"/>
                <w:highlight w:val="none"/>
                <w:lang w:val="en-US" w:eastAsia="zh-CN"/>
              </w:rPr>
            </w:pPr>
          </w:p>
        </w:tc>
      </w:tr>
      <w:tr w14:paraId="11F1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117" w:type="pct"/>
            <w:gridSpan w:val="2"/>
            <w:vMerge w:val="continue"/>
            <w:shd w:val="clear" w:color="auto" w:fill="auto"/>
            <w:tcMar>
              <w:top w:w="15" w:type="dxa"/>
              <w:left w:w="15" w:type="dxa"/>
              <w:right w:w="15" w:type="dxa"/>
            </w:tcMar>
            <w:vAlign w:val="center"/>
          </w:tcPr>
          <w:p w14:paraId="24FF5143">
            <w:pPr>
              <w:shd w:val="clear"/>
              <w:jc w:val="left"/>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78BD9C78">
            <w:pPr>
              <w:shd w:val="clear"/>
              <w:jc w:val="left"/>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5DBEBA38">
            <w:pPr>
              <w:shd w:val="clear"/>
              <w:jc w:val="left"/>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5F6141DF">
            <w:pPr>
              <w:shd w:val="clear"/>
              <w:jc w:val="left"/>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1C111795">
            <w:pPr>
              <w:shd w:val="clear"/>
              <w:jc w:val="left"/>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tcMar>
              <w:top w:w="15" w:type="dxa"/>
              <w:left w:w="15" w:type="dxa"/>
              <w:right w:w="15" w:type="dxa"/>
            </w:tcMar>
            <w:vAlign w:val="center"/>
          </w:tcPr>
          <w:p w14:paraId="207D9CE5">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工程位于2类声环境功能区</w:t>
            </w:r>
          </w:p>
        </w:tc>
        <w:tc>
          <w:tcPr>
            <w:tcW w:w="545" w:type="pct"/>
            <w:gridSpan w:val="2"/>
            <w:shd w:val="clear" w:color="auto" w:fill="auto"/>
            <w:tcMar>
              <w:top w:w="15" w:type="dxa"/>
              <w:left w:w="15" w:type="dxa"/>
              <w:right w:w="15" w:type="dxa"/>
            </w:tcMar>
            <w:vAlign w:val="center"/>
          </w:tcPr>
          <w:p w14:paraId="77D0451A">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处1.85万元以上3.65万元以下的罚款；</w:t>
            </w:r>
          </w:p>
          <w:p w14:paraId="395A3824">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拒不改正的，处9.5万元以上15.5万元以下的罚款</w:t>
            </w:r>
          </w:p>
        </w:tc>
        <w:tc>
          <w:tcPr>
            <w:tcW w:w="200" w:type="pct"/>
            <w:gridSpan w:val="2"/>
            <w:vMerge w:val="continue"/>
            <w:shd w:val="clear" w:color="auto" w:fill="auto"/>
            <w:tcMar>
              <w:top w:w="15" w:type="dxa"/>
              <w:left w:w="15" w:type="dxa"/>
              <w:right w:w="15" w:type="dxa"/>
            </w:tcMar>
            <w:vAlign w:val="center"/>
          </w:tcPr>
          <w:p w14:paraId="5885E207">
            <w:pPr>
              <w:shd w:val="clear"/>
              <w:jc w:val="left"/>
              <w:rPr>
                <w:rFonts w:hint="default" w:ascii="Times New Roman" w:hAnsi="Times New Roman" w:cs="Times New Roman" w:eastAsiaTheme="minorEastAsia"/>
                <w:color w:val="auto"/>
                <w:kern w:val="0"/>
                <w:sz w:val="18"/>
                <w:szCs w:val="18"/>
                <w:highlight w:val="none"/>
                <w:lang w:eastAsia="zh-CN"/>
              </w:rPr>
            </w:pPr>
          </w:p>
        </w:tc>
        <w:tc>
          <w:tcPr>
            <w:tcW w:w="390" w:type="pct"/>
            <w:gridSpan w:val="3"/>
            <w:vMerge w:val="continue"/>
            <w:shd w:val="clear" w:color="auto" w:fill="auto"/>
            <w:tcMar>
              <w:top w:w="15" w:type="dxa"/>
              <w:left w:w="15" w:type="dxa"/>
              <w:right w:w="15" w:type="dxa"/>
            </w:tcMar>
            <w:vAlign w:val="center"/>
          </w:tcPr>
          <w:p w14:paraId="46F0711C">
            <w:pPr>
              <w:shd w:val="clear"/>
              <w:jc w:val="left"/>
              <w:rPr>
                <w:rFonts w:hint="default" w:ascii="Times New Roman" w:hAnsi="Times New Roman" w:cs="Times New Roman" w:eastAsiaTheme="minorEastAsia"/>
                <w:color w:val="auto"/>
                <w:kern w:val="0"/>
                <w:sz w:val="18"/>
                <w:szCs w:val="18"/>
                <w:highlight w:val="none"/>
              </w:rPr>
            </w:pPr>
          </w:p>
        </w:tc>
      </w:tr>
      <w:tr w14:paraId="663F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117" w:type="pct"/>
            <w:gridSpan w:val="2"/>
            <w:vMerge w:val="continue"/>
            <w:shd w:val="clear" w:color="auto" w:fill="auto"/>
            <w:tcMar>
              <w:top w:w="15" w:type="dxa"/>
              <w:left w:w="15" w:type="dxa"/>
              <w:right w:w="15" w:type="dxa"/>
            </w:tcMar>
            <w:vAlign w:val="center"/>
          </w:tcPr>
          <w:p w14:paraId="678DB7FA">
            <w:pPr>
              <w:shd w:val="clear"/>
              <w:jc w:val="left"/>
              <w:rPr>
                <w:rFonts w:hint="default" w:ascii="Times New Roman" w:hAnsi="Times New Roman" w:cs="Times New Roman" w:eastAsiaTheme="minorEastAsia"/>
                <w:color w:val="auto"/>
                <w:kern w:val="0"/>
                <w:sz w:val="18"/>
                <w:szCs w:val="18"/>
                <w:highlight w:val="none"/>
              </w:rPr>
            </w:pPr>
          </w:p>
        </w:tc>
        <w:tc>
          <w:tcPr>
            <w:tcW w:w="411" w:type="pct"/>
            <w:gridSpan w:val="2"/>
            <w:vMerge w:val="continue"/>
            <w:shd w:val="clear" w:color="auto" w:fill="auto"/>
            <w:tcMar>
              <w:top w:w="15" w:type="dxa"/>
              <w:left w:w="15" w:type="dxa"/>
              <w:right w:w="15" w:type="dxa"/>
            </w:tcMar>
            <w:vAlign w:val="center"/>
          </w:tcPr>
          <w:p w14:paraId="1947BB04">
            <w:pPr>
              <w:shd w:val="clear"/>
              <w:jc w:val="left"/>
              <w:rPr>
                <w:rFonts w:hint="default" w:ascii="Times New Roman" w:hAnsi="Times New Roman" w:cs="Times New Roman" w:eastAsiaTheme="minorEastAsia"/>
                <w:color w:val="auto"/>
                <w:kern w:val="0"/>
                <w:sz w:val="18"/>
                <w:szCs w:val="18"/>
                <w:highlight w:val="none"/>
              </w:rPr>
            </w:pPr>
          </w:p>
        </w:tc>
        <w:tc>
          <w:tcPr>
            <w:tcW w:w="1310" w:type="pct"/>
            <w:gridSpan w:val="2"/>
            <w:vMerge w:val="continue"/>
            <w:shd w:val="clear" w:color="auto" w:fill="auto"/>
            <w:tcMar>
              <w:top w:w="15" w:type="dxa"/>
              <w:left w:w="15" w:type="dxa"/>
              <w:right w:w="15" w:type="dxa"/>
            </w:tcMar>
            <w:vAlign w:val="center"/>
          </w:tcPr>
          <w:p w14:paraId="4BB4348B">
            <w:pPr>
              <w:shd w:val="clear"/>
              <w:jc w:val="left"/>
              <w:rPr>
                <w:rFonts w:hint="default" w:ascii="Times New Roman" w:hAnsi="Times New Roman" w:cs="Times New Roman" w:eastAsiaTheme="minorEastAsia"/>
                <w:color w:val="auto"/>
                <w:kern w:val="0"/>
                <w:sz w:val="18"/>
                <w:szCs w:val="18"/>
                <w:highlight w:val="none"/>
              </w:rPr>
            </w:pPr>
          </w:p>
        </w:tc>
        <w:tc>
          <w:tcPr>
            <w:tcW w:w="1314" w:type="pct"/>
            <w:gridSpan w:val="2"/>
            <w:vMerge w:val="continue"/>
            <w:shd w:val="clear" w:color="auto" w:fill="auto"/>
            <w:tcMar>
              <w:top w:w="15" w:type="dxa"/>
              <w:left w:w="15" w:type="dxa"/>
              <w:right w:w="15" w:type="dxa"/>
            </w:tcMar>
            <w:vAlign w:val="center"/>
          </w:tcPr>
          <w:p w14:paraId="367D3EEA">
            <w:pPr>
              <w:shd w:val="clear"/>
              <w:jc w:val="left"/>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74008A30">
            <w:pPr>
              <w:shd w:val="clear"/>
              <w:jc w:val="left"/>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5D6A6E7F">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工程位于1类声环境功能区</w:t>
            </w:r>
          </w:p>
          <w:p w14:paraId="434BF629">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在举行中等学校招生考试、高等学校招生统一考试等特殊活动期间违法</w:t>
            </w:r>
          </w:p>
        </w:tc>
        <w:tc>
          <w:tcPr>
            <w:tcW w:w="545" w:type="pct"/>
            <w:gridSpan w:val="2"/>
            <w:shd w:val="clear" w:color="auto" w:fill="auto"/>
            <w:tcMar>
              <w:top w:w="15" w:type="dxa"/>
              <w:left w:w="15" w:type="dxa"/>
              <w:right w:w="15" w:type="dxa"/>
            </w:tcMar>
            <w:vAlign w:val="center"/>
          </w:tcPr>
          <w:p w14:paraId="7590E3CB">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处3.65万元以上5万元以下的罚款；</w:t>
            </w:r>
          </w:p>
          <w:p w14:paraId="3C0C5F47">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拒不改正的，处15.5万元以上20万元以下的罚款</w:t>
            </w:r>
          </w:p>
        </w:tc>
        <w:tc>
          <w:tcPr>
            <w:tcW w:w="200" w:type="pct"/>
            <w:gridSpan w:val="2"/>
            <w:vMerge w:val="continue"/>
            <w:shd w:val="clear" w:color="auto" w:fill="auto"/>
            <w:tcMar>
              <w:top w:w="15" w:type="dxa"/>
              <w:left w:w="15" w:type="dxa"/>
              <w:right w:w="15" w:type="dxa"/>
            </w:tcMar>
            <w:vAlign w:val="center"/>
          </w:tcPr>
          <w:p w14:paraId="299A890A">
            <w:pPr>
              <w:shd w:val="clear"/>
              <w:jc w:val="left"/>
              <w:rPr>
                <w:rFonts w:hint="default" w:ascii="Times New Roman" w:hAnsi="Times New Roman" w:cs="Times New Roman" w:eastAsiaTheme="minorEastAsia"/>
                <w:color w:val="auto"/>
                <w:kern w:val="0"/>
                <w:sz w:val="18"/>
                <w:szCs w:val="18"/>
                <w:highlight w:val="none"/>
                <w:lang w:eastAsia="zh-CN"/>
              </w:rPr>
            </w:pPr>
          </w:p>
        </w:tc>
        <w:tc>
          <w:tcPr>
            <w:tcW w:w="390" w:type="pct"/>
            <w:gridSpan w:val="3"/>
            <w:vMerge w:val="continue"/>
            <w:shd w:val="clear" w:color="auto" w:fill="auto"/>
            <w:tcMar>
              <w:top w:w="15" w:type="dxa"/>
              <w:left w:w="15" w:type="dxa"/>
              <w:right w:w="15" w:type="dxa"/>
            </w:tcMar>
            <w:vAlign w:val="center"/>
          </w:tcPr>
          <w:p w14:paraId="3D439658">
            <w:pPr>
              <w:shd w:val="clear"/>
              <w:jc w:val="left"/>
              <w:rPr>
                <w:rFonts w:hint="default" w:ascii="Times New Roman" w:hAnsi="Times New Roman" w:cs="Times New Roman" w:eastAsiaTheme="minorEastAsia"/>
                <w:color w:val="auto"/>
                <w:kern w:val="0"/>
                <w:sz w:val="18"/>
                <w:szCs w:val="18"/>
                <w:highlight w:val="none"/>
              </w:rPr>
            </w:pPr>
          </w:p>
        </w:tc>
      </w:tr>
      <w:tr w14:paraId="4086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trPr>
        <w:tc>
          <w:tcPr>
            <w:tcW w:w="117" w:type="pct"/>
            <w:gridSpan w:val="2"/>
            <w:vMerge w:val="restart"/>
            <w:shd w:val="clear" w:color="auto" w:fill="auto"/>
            <w:tcMar>
              <w:top w:w="15" w:type="dxa"/>
              <w:left w:w="15" w:type="dxa"/>
              <w:right w:w="15" w:type="dxa"/>
            </w:tcMar>
            <w:vAlign w:val="center"/>
          </w:tcPr>
          <w:p w14:paraId="67A8D99E">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85</w:t>
            </w:r>
          </w:p>
        </w:tc>
        <w:tc>
          <w:tcPr>
            <w:tcW w:w="411" w:type="pct"/>
            <w:gridSpan w:val="2"/>
            <w:vMerge w:val="restart"/>
            <w:shd w:val="clear" w:color="auto" w:fill="auto"/>
            <w:tcMar>
              <w:top w:w="15" w:type="dxa"/>
              <w:left w:w="15" w:type="dxa"/>
              <w:right w:w="15" w:type="dxa"/>
            </w:tcMar>
            <w:vAlign w:val="center"/>
          </w:tcPr>
          <w:p w14:paraId="36A1A379">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在噪声敏感建筑物集中区域施工作业的建设单位未按照国家规定设置噪声自动监测系统，未与监督管理部门联网，或者未保存原始监测记录的</w:t>
            </w:r>
          </w:p>
        </w:tc>
        <w:tc>
          <w:tcPr>
            <w:tcW w:w="1310" w:type="pct"/>
            <w:gridSpan w:val="2"/>
            <w:vMerge w:val="restart"/>
            <w:shd w:val="clear" w:color="auto" w:fill="auto"/>
            <w:tcMar>
              <w:top w:w="15" w:type="dxa"/>
              <w:left w:w="15" w:type="dxa"/>
              <w:right w:w="15" w:type="dxa"/>
            </w:tcMar>
            <w:vAlign w:val="center"/>
          </w:tcPr>
          <w:p w14:paraId="537BDBDD">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《中华人民共和国噪声污染防治法》第四十二条</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在噪声敏感建筑物集中区域施工作业，建设单位应当按照国家规定，设置噪声自动监测系统，与监督管理部门联网，保存原始监测记录，对监测数据的真实性和准确性负责。</w:t>
            </w:r>
            <w:r>
              <w:rPr>
                <w:rFonts w:hint="default" w:ascii="Times New Roman" w:hAnsi="Times New Roman" w:cs="Times New Roman" w:eastAsiaTheme="minorEastAsia"/>
                <w:color w:val="auto"/>
                <w:kern w:val="0"/>
                <w:sz w:val="18"/>
                <w:szCs w:val="18"/>
                <w:highlight w:val="none"/>
                <w:lang w:eastAsia="zh-CN"/>
              </w:rPr>
              <w:t>”</w:t>
            </w:r>
          </w:p>
        </w:tc>
        <w:tc>
          <w:tcPr>
            <w:tcW w:w="1314" w:type="pct"/>
            <w:gridSpan w:val="2"/>
            <w:vMerge w:val="restart"/>
            <w:shd w:val="clear" w:color="auto" w:fill="auto"/>
            <w:tcMar>
              <w:top w:w="15" w:type="dxa"/>
              <w:left w:w="15" w:type="dxa"/>
              <w:right w:w="15" w:type="dxa"/>
            </w:tcMar>
            <w:vAlign w:val="center"/>
          </w:tcPr>
          <w:p w14:paraId="6A75CDAD">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《中华人民共和国噪声污染防治法》第七十八条</w:t>
            </w:r>
            <w:r>
              <w:rPr>
                <w:rFonts w:hint="default" w:ascii="Times New Roman" w:hAnsi="Times New Roman" w:cs="Times New Roman" w:eastAsiaTheme="minorEastAsia"/>
                <w:color w:val="auto"/>
                <w:kern w:val="0"/>
                <w:sz w:val="18"/>
                <w:szCs w:val="18"/>
                <w:highlight w:val="none"/>
                <w:lang w:val="en-US" w:eastAsia="zh-CN"/>
              </w:rPr>
              <w:t>第三项</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违反本法规定，有下列行为之一，由工程所在地人民政府指定的部门责令改正，处五千元以上五万元以下的罚款；拒不改正的，处五万元以上二十万元以下的罚款：（三）在噪声敏感建筑物集中区域施工作业的建设单位未按照国家规定设置噪声自动监测系统，未与监督管理部门联网，或者未保存原始监测记录的；</w:t>
            </w:r>
            <w:r>
              <w:rPr>
                <w:rFonts w:hint="default" w:ascii="Times New Roman" w:hAnsi="Times New Roman" w:cs="Times New Roman" w:eastAsiaTheme="minorEastAsia"/>
                <w:color w:val="auto"/>
                <w:kern w:val="0"/>
                <w:sz w:val="18"/>
                <w:szCs w:val="18"/>
                <w:highlight w:val="none"/>
                <w:lang w:eastAsia="zh-CN"/>
              </w:rPr>
              <w:t>”</w:t>
            </w:r>
          </w:p>
        </w:tc>
        <w:tc>
          <w:tcPr>
            <w:tcW w:w="177" w:type="pct"/>
            <w:gridSpan w:val="2"/>
            <w:shd w:val="clear" w:color="auto" w:fill="auto"/>
            <w:tcMar>
              <w:top w:w="15" w:type="dxa"/>
              <w:left w:w="15" w:type="dxa"/>
              <w:right w:w="15" w:type="dxa"/>
            </w:tcMar>
            <w:vAlign w:val="center"/>
          </w:tcPr>
          <w:p w14:paraId="25D135A0">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4A0760F5">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未保存原始监测记录</w:t>
            </w:r>
          </w:p>
        </w:tc>
        <w:tc>
          <w:tcPr>
            <w:tcW w:w="545" w:type="pct"/>
            <w:gridSpan w:val="2"/>
            <w:shd w:val="clear" w:color="auto" w:fill="auto"/>
            <w:tcMar>
              <w:top w:w="15" w:type="dxa"/>
              <w:left w:w="15" w:type="dxa"/>
              <w:right w:w="15" w:type="dxa"/>
            </w:tcMar>
            <w:vAlign w:val="center"/>
          </w:tcPr>
          <w:p w14:paraId="33002193">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处5000元以上1.85万元以下的罚款；</w:t>
            </w:r>
          </w:p>
          <w:p w14:paraId="3193EB52">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拒不改正的，处5万元以上9.5万元以下的罚款</w:t>
            </w:r>
          </w:p>
        </w:tc>
        <w:tc>
          <w:tcPr>
            <w:tcW w:w="200" w:type="pct"/>
            <w:gridSpan w:val="2"/>
            <w:vMerge w:val="restart"/>
            <w:shd w:val="clear" w:color="auto" w:fill="auto"/>
            <w:tcMar>
              <w:top w:w="15" w:type="dxa"/>
              <w:left w:w="15" w:type="dxa"/>
              <w:right w:w="15" w:type="dxa"/>
            </w:tcMar>
            <w:vAlign w:val="center"/>
          </w:tcPr>
          <w:p w14:paraId="08F72D07">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责令改正</w:t>
            </w:r>
          </w:p>
        </w:tc>
        <w:tc>
          <w:tcPr>
            <w:tcW w:w="390" w:type="pct"/>
            <w:gridSpan w:val="3"/>
            <w:vMerge w:val="restart"/>
            <w:shd w:val="clear" w:color="auto" w:fill="auto"/>
            <w:tcMar>
              <w:top w:w="15" w:type="dxa"/>
              <w:left w:w="15" w:type="dxa"/>
              <w:right w:w="15" w:type="dxa"/>
            </w:tcMar>
            <w:vAlign w:val="center"/>
          </w:tcPr>
          <w:p w14:paraId="3961CE08">
            <w:pPr>
              <w:shd w:val="clear"/>
              <w:jc w:val="left"/>
              <w:rPr>
                <w:rFonts w:hint="default" w:ascii="Times New Roman" w:hAnsi="Times New Roman" w:cs="Times New Roman" w:eastAsiaTheme="minorEastAsia"/>
                <w:color w:val="auto"/>
                <w:sz w:val="18"/>
                <w:szCs w:val="18"/>
                <w:highlight w:val="none"/>
                <w:lang w:val="en-US"/>
              </w:rPr>
            </w:pPr>
          </w:p>
        </w:tc>
      </w:tr>
      <w:tr w14:paraId="2E14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trPr>
        <w:tc>
          <w:tcPr>
            <w:tcW w:w="117" w:type="pct"/>
            <w:gridSpan w:val="2"/>
            <w:vMerge w:val="continue"/>
            <w:shd w:val="clear" w:color="auto" w:fill="auto"/>
            <w:tcMar>
              <w:top w:w="15" w:type="dxa"/>
              <w:left w:w="15" w:type="dxa"/>
              <w:right w:w="15" w:type="dxa"/>
            </w:tcMar>
            <w:vAlign w:val="center"/>
          </w:tcPr>
          <w:p w14:paraId="16A1323F">
            <w:pPr>
              <w:shd w:val="clear"/>
              <w:jc w:val="left"/>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21764586">
            <w:pPr>
              <w:shd w:val="clear"/>
              <w:jc w:val="left"/>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2FC33E42">
            <w:pPr>
              <w:shd w:val="clear"/>
              <w:jc w:val="left"/>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36FEA710">
            <w:pPr>
              <w:shd w:val="clear"/>
              <w:jc w:val="left"/>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203C5247">
            <w:pPr>
              <w:shd w:val="clear"/>
              <w:jc w:val="left"/>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tcMar>
              <w:top w:w="15" w:type="dxa"/>
              <w:left w:w="15" w:type="dxa"/>
              <w:right w:w="15" w:type="dxa"/>
            </w:tcMar>
            <w:vAlign w:val="center"/>
          </w:tcPr>
          <w:p w14:paraId="1F30EE57">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已设置</w:t>
            </w:r>
            <w:r>
              <w:rPr>
                <w:rFonts w:hint="default" w:ascii="Times New Roman" w:hAnsi="Times New Roman" w:cs="Times New Roman" w:eastAsiaTheme="minorEastAsia"/>
                <w:color w:val="auto"/>
                <w:kern w:val="0"/>
                <w:sz w:val="18"/>
                <w:szCs w:val="18"/>
                <w:highlight w:val="none"/>
              </w:rPr>
              <w:t>噪声自动监测系统，未与监督管理部门联网</w:t>
            </w:r>
          </w:p>
        </w:tc>
        <w:tc>
          <w:tcPr>
            <w:tcW w:w="545" w:type="pct"/>
            <w:gridSpan w:val="2"/>
            <w:shd w:val="clear" w:color="auto" w:fill="auto"/>
            <w:tcMar>
              <w:top w:w="15" w:type="dxa"/>
              <w:left w:w="15" w:type="dxa"/>
              <w:right w:w="15" w:type="dxa"/>
            </w:tcMar>
            <w:vAlign w:val="center"/>
          </w:tcPr>
          <w:p w14:paraId="3FCC7180">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处1.85万元以上3.65万元以下的罚款；</w:t>
            </w:r>
          </w:p>
          <w:p w14:paraId="4B5FE88F">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拒不改正的，处9.5万元以上15.5万元以下的罚款</w:t>
            </w:r>
          </w:p>
        </w:tc>
        <w:tc>
          <w:tcPr>
            <w:tcW w:w="200" w:type="pct"/>
            <w:gridSpan w:val="2"/>
            <w:vMerge w:val="continue"/>
            <w:shd w:val="clear" w:color="auto" w:fill="auto"/>
            <w:tcMar>
              <w:top w:w="15" w:type="dxa"/>
              <w:left w:w="15" w:type="dxa"/>
              <w:right w:w="15" w:type="dxa"/>
            </w:tcMar>
            <w:vAlign w:val="center"/>
          </w:tcPr>
          <w:p w14:paraId="297E3FE9">
            <w:pPr>
              <w:shd w:val="clear"/>
              <w:jc w:val="left"/>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73EF5479">
            <w:pPr>
              <w:shd w:val="clear"/>
              <w:jc w:val="left"/>
              <w:rPr>
                <w:rFonts w:hint="default" w:ascii="Times New Roman" w:hAnsi="Times New Roman" w:cs="Times New Roman" w:eastAsiaTheme="minorEastAsia"/>
                <w:color w:val="auto"/>
                <w:kern w:val="0"/>
                <w:sz w:val="18"/>
                <w:szCs w:val="18"/>
                <w:highlight w:val="none"/>
              </w:rPr>
            </w:pPr>
          </w:p>
        </w:tc>
      </w:tr>
      <w:tr w14:paraId="7887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trPr>
        <w:tc>
          <w:tcPr>
            <w:tcW w:w="117" w:type="pct"/>
            <w:gridSpan w:val="2"/>
            <w:vMerge w:val="continue"/>
            <w:shd w:val="clear" w:color="auto" w:fill="auto"/>
            <w:tcMar>
              <w:top w:w="15" w:type="dxa"/>
              <w:left w:w="15" w:type="dxa"/>
              <w:right w:w="15" w:type="dxa"/>
            </w:tcMar>
            <w:vAlign w:val="center"/>
          </w:tcPr>
          <w:p w14:paraId="03736D5F">
            <w:pPr>
              <w:shd w:val="clear"/>
              <w:jc w:val="left"/>
              <w:rPr>
                <w:rFonts w:hint="default" w:ascii="Times New Roman" w:hAnsi="Times New Roman" w:cs="Times New Roman" w:eastAsiaTheme="minorEastAsia"/>
                <w:color w:val="auto"/>
                <w:kern w:val="0"/>
                <w:sz w:val="18"/>
                <w:szCs w:val="18"/>
                <w:highlight w:val="none"/>
              </w:rPr>
            </w:pPr>
          </w:p>
        </w:tc>
        <w:tc>
          <w:tcPr>
            <w:tcW w:w="411" w:type="pct"/>
            <w:gridSpan w:val="2"/>
            <w:vMerge w:val="continue"/>
            <w:shd w:val="clear" w:color="auto" w:fill="auto"/>
            <w:tcMar>
              <w:top w:w="15" w:type="dxa"/>
              <w:left w:w="15" w:type="dxa"/>
              <w:right w:w="15" w:type="dxa"/>
            </w:tcMar>
            <w:vAlign w:val="center"/>
          </w:tcPr>
          <w:p w14:paraId="31EB22D9">
            <w:pPr>
              <w:shd w:val="clear"/>
              <w:jc w:val="left"/>
              <w:rPr>
                <w:rFonts w:hint="default" w:ascii="Times New Roman" w:hAnsi="Times New Roman" w:cs="Times New Roman" w:eastAsiaTheme="minorEastAsia"/>
                <w:color w:val="auto"/>
                <w:kern w:val="0"/>
                <w:sz w:val="18"/>
                <w:szCs w:val="18"/>
                <w:highlight w:val="none"/>
              </w:rPr>
            </w:pPr>
          </w:p>
        </w:tc>
        <w:tc>
          <w:tcPr>
            <w:tcW w:w="1310" w:type="pct"/>
            <w:gridSpan w:val="2"/>
            <w:vMerge w:val="continue"/>
            <w:shd w:val="clear" w:color="auto" w:fill="auto"/>
            <w:tcMar>
              <w:top w:w="15" w:type="dxa"/>
              <w:left w:w="15" w:type="dxa"/>
              <w:right w:w="15" w:type="dxa"/>
            </w:tcMar>
            <w:vAlign w:val="center"/>
          </w:tcPr>
          <w:p w14:paraId="6F78B28E">
            <w:pPr>
              <w:shd w:val="clear"/>
              <w:jc w:val="left"/>
              <w:rPr>
                <w:rFonts w:hint="default" w:ascii="Times New Roman" w:hAnsi="Times New Roman" w:cs="Times New Roman" w:eastAsiaTheme="minorEastAsia"/>
                <w:color w:val="auto"/>
                <w:kern w:val="0"/>
                <w:sz w:val="18"/>
                <w:szCs w:val="18"/>
                <w:highlight w:val="none"/>
              </w:rPr>
            </w:pPr>
          </w:p>
        </w:tc>
        <w:tc>
          <w:tcPr>
            <w:tcW w:w="1314" w:type="pct"/>
            <w:gridSpan w:val="2"/>
            <w:vMerge w:val="continue"/>
            <w:shd w:val="clear" w:color="auto" w:fill="auto"/>
            <w:tcMar>
              <w:top w:w="15" w:type="dxa"/>
              <w:left w:w="15" w:type="dxa"/>
              <w:right w:w="15" w:type="dxa"/>
            </w:tcMar>
            <w:vAlign w:val="center"/>
          </w:tcPr>
          <w:p w14:paraId="26A4960A">
            <w:pPr>
              <w:shd w:val="clear"/>
              <w:jc w:val="left"/>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582FD5C2">
            <w:pPr>
              <w:shd w:val="clear"/>
              <w:jc w:val="left"/>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2839E333">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未按照国家规定设置噪声自动监测系统</w:t>
            </w:r>
          </w:p>
        </w:tc>
        <w:tc>
          <w:tcPr>
            <w:tcW w:w="545" w:type="pct"/>
            <w:gridSpan w:val="2"/>
            <w:shd w:val="clear" w:color="auto" w:fill="auto"/>
            <w:tcMar>
              <w:top w:w="15" w:type="dxa"/>
              <w:left w:w="15" w:type="dxa"/>
              <w:right w:w="15" w:type="dxa"/>
            </w:tcMar>
            <w:vAlign w:val="center"/>
          </w:tcPr>
          <w:p w14:paraId="21446FD7">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处3.65万元以上5万元以下的罚款；</w:t>
            </w:r>
          </w:p>
          <w:p w14:paraId="579CDC85">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拒不改正的，处15.5万元以上20万元以下的罚款</w:t>
            </w:r>
          </w:p>
        </w:tc>
        <w:tc>
          <w:tcPr>
            <w:tcW w:w="200" w:type="pct"/>
            <w:gridSpan w:val="2"/>
            <w:vMerge w:val="continue"/>
            <w:shd w:val="clear" w:color="auto" w:fill="auto"/>
            <w:tcMar>
              <w:top w:w="15" w:type="dxa"/>
              <w:left w:w="15" w:type="dxa"/>
              <w:right w:w="15" w:type="dxa"/>
            </w:tcMar>
            <w:vAlign w:val="center"/>
          </w:tcPr>
          <w:p w14:paraId="021B9556">
            <w:pPr>
              <w:shd w:val="clear"/>
              <w:jc w:val="left"/>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109B9B3D">
            <w:pPr>
              <w:shd w:val="clear"/>
              <w:jc w:val="left"/>
              <w:rPr>
                <w:rFonts w:hint="default" w:ascii="Times New Roman" w:hAnsi="Times New Roman" w:cs="Times New Roman" w:eastAsiaTheme="minorEastAsia"/>
                <w:color w:val="auto"/>
                <w:kern w:val="0"/>
                <w:sz w:val="18"/>
                <w:szCs w:val="18"/>
                <w:highlight w:val="none"/>
              </w:rPr>
            </w:pPr>
          </w:p>
        </w:tc>
      </w:tr>
      <w:tr w14:paraId="2D11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117" w:type="pct"/>
            <w:gridSpan w:val="2"/>
            <w:vMerge w:val="restart"/>
            <w:shd w:val="clear" w:color="auto" w:fill="auto"/>
            <w:tcMar>
              <w:top w:w="15" w:type="dxa"/>
              <w:left w:w="15" w:type="dxa"/>
              <w:right w:w="15" w:type="dxa"/>
            </w:tcMar>
            <w:vAlign w:val="center"/>
          </w:tcPr>
          <w:p w14:paraId="3CAB5502">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86</w:t>
            </w:r>
          </w:p>
        </w:tc>
        <w:tc>
          <w:tcPr>
            <w:tcW w:w="411" w:type="pct"/>
            <w:gridSpan w:val="2"/>
            <w:vMerge w:val="restart"/>
            <w:shd w:val="clear" w:color="auto" w:fill="auto"/>
            <w:tcMar>
              <w:top w:w="15" w:type="dxa"/>
              <w:left w:w="15" w:type="dxa"/>
              <w:right w:w="15" w:type="dxa"/>
            </w:tcMar>
            <w:vAlign w:val="center"/>
          </w:tcPr>
          <w:p w14:paraId="3A4A0768">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因特殊需要必须连续施工作业，建设单位未按照规定公告附近居民的</w:t>
            </w:r>
          </w:p>
        </w:tc>
        <w:tc>
          <w:tcPr>
            <w:tcW w:w="1310" w:type="pct"/>
            <w:gridSpan w:val="2"/>
            <w:vMerge w:val="restart"/>
            <w:shd w:val="clear" w:color="auto" w:fill="auto"/>
            <w:tcMar>
              <w:top w:w="15" w:type="dxa"/>
              <w:left w:w="15" w:type="dxa"/>
              <w:right w:w="15" w:type="dxa"/>
            </w:tcMar>
            <w:vAlign w:val="center"/>
          </w:tcPr>
          <w:p w14:paraId="0AC92AE2">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《中华人民共和国噪声污染防治法》第四十三条第</w:t>
            </w:r>
            <w:r>
              <w:rPr>
                <w:rFonts w:hint="default" w:ascii="Times New Roman" w:hAnsi="Times New Roman" w:cs="Times New Roman" w:eastAsiaTheme="minorEastAsia"/>
                <w:color w:val="auto"/>
                <w:kern w:val="0"/>
                <w:sz w:val="18"/>
                <w:szCs w:val="18"/>
                <w:highlight w:val="none"/>
                <w:lang w:val="en-US" w:eastAsia="zh-CN"/>
              </w:rPr>
              <w:t>二</w:t>
            </w:r>
            <w:r>
              <w:rPr>
                <w:rFonts w:hint="default" w:ascii="Times New Roman" w:hAnsi="Times New Roman" w:cs="Times New Roman" w:eastAsiaTheme="minorEastAsia"/>
                <w:color w:val="auto"/>
                <w:kern w:val="0"/>
                <w:sz w:val="18"/>
                <w:szCs w:val="18"/>
                <w:highlight w:val="none"/>
              </w:rPr>
              <w:t>款：</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因特殊需要必须连续施工作业的，应当取得地方人民政府住房和城乡建设、生态环境主管部门或者地方人民政府指定的部门的证明，并在施工现场显著位置公示或者以其他方式公告附近居民。</w:t>
            </w:r>
            <w:r>
              <w:rPr>
                <w:rFonts w:hint="default" w:ascii="Times New Roman" w:hAnsi="Times New Roman" w:cs="Times New Roman" w:eastAsiaTheme="minorEastAsia"/>
                <w:color w:val="auto"/>
                <w:kern w:val="0"/>
                <w:sz w:val="18"/>
                <w:szCs w:val="18"/>
                <w:highlight w:val="none"/>
                <w:lang w:eastAsia="zh-CN"/>
              </w:rPr>
              <w:t>”</w:t>
            </w:r>
          </w:p>
        </w:tc>
        <w:tc>
          <w:tcPr>
            <w:tcW w:w="1314" w:type="pct"/>
            <w:gridSpan w:val="2"/>
            <w:vMerge w:val="restart"/>
            <w:shd w:val="clear" w:color="auto" w:fill="auto"/>
            <w:tcMar>
              <w:top w:w="15" w:type="dxa"/>
              <w:left w:w="15" w:type="dxa"/>
              <w:right w:w="15" w:type="dxa"/>
            </w:tcMar>
            <w:vAlign w:val="center"/>
          </w:tcPr>
          <w:p w14:paraId="398F02CC">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《中华人民共和国噪声污染防治法》第七十八条第</w:t>
            </w:r>
            <w:r>
              <w:rPr>
                <w:rFonts w:hint="default" w:ascii="Times New Roman" w:hAnsi="Times New Roman" w:cs="Times New Roman" w:eastAsiaTheme="minorEastAsia"/>
                <w:color w:val="auto"/>
                <w:kern w:val="0"/>
                <w:sz w:val="18"/>
                <w:szCs w:val="18"/>
                <w:highlight w:val="none"/>
                <w:lang w:val="en-US" w:eastAsia="zh-CN"/>
              </w:rPr>
              <w:t>四</w:t>
            </w:r>
            <w:r>
              <w:rPr>
                <w:rFonts w:hint="default" w:ascii="Times New Roman" w:hAnsi="Times New Roman" w:cs="Times New Roman" w:eastAsiaTheme="minorEastAsia"/>
                <w:color w:val="auto"/>
                <w:kern w:val="0"/>
                <w:sz w:val="18"/>
                <w:szCs w:val="18"/>
                <w:highlight w:val="none"/>
              </w:rPr>
              <w:t>项：</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违反本法规定，有下列行为之一，由工程所在地人民政府指定的部门责令改正，处五千元以上五万元以下的罚款；拒不改正的，处五万元以上二十万元以下的罚款：（四）因特殊需要必须连续施工作业，建设单位未按照规定公告附近居民的。</w:t>
            </w:r>
            <w:r>
              <w:rPr>
                <w:rFonts w:hint="default" w:ascii="Times New Roman" w:hAnsi="Times New Roman" w:cs="Times New Roman" w:eastAsiaTheme="minorEastAsia"/>
                <w:color w:val="auto"/>
                <w:kern w:val="0"/>
                <w:sz w:val="18"/>
                <w:szCs w:val="18"/>
                <w:highlight w:val="none"/>
                <w:lang w:eastAsia="zh-CN"/>
              </w:rPr>
              <w:t>”</w:t>
            </w:r>
          </w:p>
        </w:tc>
        <w:tc>
          <w:tcPr>
            <w:tcW w:w="177" w:type="pct"/>
            <w:gridSpan w:val="2"/>
            <w:shd w:val="clear" w:color="auto" w:fill="auto"/>
            <w:tcMar>
              <w:top w:w="15" w:type="dxa"/>
              <w:left w:w="15" w:type="dxa"/>
              <w:right w:w="15" w:type="dxa"/>
            </w:tcMar>
            <w:vAlign w:val="center"/>
          </w:tcPr>
          <w:p w14:paraId="264BE15B">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00C61C92">
            <w:pPr>
              <w:widowControl/>
              <w:shd w:val="clear"/>
              <w:jc w:val="left"/>
              <w:textAlignment w:val="center"/>
              <w:rPr>
                <w:rFonts w:hint="default" w:ascii="Times New Roman" w:hAnsi="Times New Roman" w:cs="Times New Roman" w:eastAsiaTheme="minorEastAsia"/>
                <w:color w:val="auto"/>
                <w:kern w:val="0"/>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连续施工作业3天以下</w:t>
            </w:r>
          </w:p>
        </w:tc>
        <w:tc>
          <w:tcPr>
            <w:tcW w:w="545" w:type="pct"/>
            <w:gridSpan w:val="2"/>
            <w:shd w:val="clear" w:color="auto" w:fill="auto"/>
            <w:tcMar>
              <w:top w:w="15" w:type="dxa"/>
              <w:left w:w="15" w:type="dxa"/>
              <w:right w:w="15" w:type="dxa"/>
            </w:tcMar>
            <w:vAlign w:val="center"/>
          </w:tcPr>
          <w:p w14:paraId="58014C5B">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处5000元以上1.85万元以下的罚款；</w:t>
            </w:r>
          </w:p>
          <w:p w14:paraId="41A273CA">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拒不改正的，处5万元以上9.5万元以下的罚款</w:t>
            </w:r>
          </w:p>
        </w:tc>
        <w:tc>
          <w:tcPr>
            <w:tcW w:w="200" w:type="pct"/>
            <w:gridSpan w:val="2"/>
            <w:vMerge w:val="restart"/>
            <w:shd w:val="clear" w:color="auto" w:fill="auto"/>
            <w:tcMar>
              <w:top w:w="15" w:type="dxa"/>
              <w:left w:w="15" w:type="dxa"/>
              <w:right w:w="15" w:type="dxa"/>
            </w:tcMar>
            <w:vAlign w:val="center"/>
          </w:tcPr>
          <w:p w14:paraId="2D512591">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责令改正</w:t>
            </w:r>
          </w:p>
        </w:tc>
        <w:tc>
          <w:tcPr>
            <w:tcW w:w="390" w:type="pct"/>
            <w:gridSpan w:val="3"/>
            <w:vMerge w:val="restart"/>
            <w:shd w:val="clear" w:color="auto" w:fill="auto"/>
            <w:tcMar>
              <w:top w:w="15" w:type="dxa"/>
              <w:left w:w="15" w:type="dxa"/>
              <w:right w:w="15" w:type="dxa"/>
            </w:tcMar>
            <w:vAlign w:val="center"/>
          </w:tcPr>
          <w:p w14:paraId="15F859F6">
            <w:pPr>
              <w:shd w:val="clear"/>
              <w:jc w:val="left"/>
              <w:rPr>
                <w:rFonts w:hint="default" w:ascii="Times New Roman" w:hAnsi="Times New Roman" w:cs="Times New Roman" w:eastAsiaTheme="minorEastAsia"/>
                <w:color w:val="auto"/>
                <w:sz w:val="18"/>
                <w:szCs w:val="18"/>
                <w:highlight w:val="none"/>
                <w:lang w:val="en-US" w:eastAsia="zh-CN"/>
              </w:rPr>
            </w:pPr>
          </w:p>
        </w:tc>
      </w:tr>
      <w:tr w14:paraId="3F902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117" w:type="pct"/>
            <w:gridSpan w:val="2"/>
            <w:vMerge w:val="continue"/>
            <w:shd w:val="clear" w:color="auto" w:fill="auto"/>
            <w:tcMar>
              <w:top w:w="15" w:type="dxa"/>
              <w:left w:w="15" w:type="dxa"/>
              <w:right w:w="15" w:type="dxa"/>
            </w:tcMar>
            <w:vAlign w:val="center"/>
          </w:tcPr>
          <w:p w14:paraId="3D027084">
            <w:pPr>
              <w:shd w:val="clear"/>
              <w:jc w:val="left"/>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4E578E8D">
            <w:pPr>
              <w:shd w:val="clear"/>
              <w:jc w:val="left"/>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5654FA92">
            <w:pPr>
              <w:shd w:val="clear"/>
              <w:jc w:val="left"/>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2E0006A9">
            <w:pPr>
              <w:shd w:val="clear"/>
              <w:jc w:val="left"/>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089F1CC7">
            <w:pPr>
              <w:shd w:val="clear"/>
              <w:jc w:val="left"/>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tcMar>
              <w:top w:w="15" w:type="dxa"/>
              <w:left w:w="15" w:type="dxa"/>
              <w:right w:w="15" w:type="dxa"/>
            </w:tcMar>
            <w:vAlign w:val="center"/>
          </w:tcPr>
          <w:p w14:paraId="4C5BE710">
            <w:pPr>
              <w:shd w:val="clear"/>
              <w:jc w:val="left"/>
              <w:rPr>
                <w:rFonts w:hint="default" w:ascii="Times New Roman" w:hAnsi="Times New Roman" w:cs="Times New Roman" w:eastAsiaTheme="minorEastAsia"/>
                <w:color w:val="auto"/>
                <w:kern w:val="0"/>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连续施工作业3天以上5天以下</w:t>
            </w:r>
          </w:p>
        </w:tc>
        <w:tc>
          <w:tcPr>
            <w:tcW w:w="545" w:type="pct"/>
            <w:gridSpan w:val="2"/>
            <w:shd w:val="clear" w:color="auto" w:fill="auto"/>
            <w:tcMar>
              <w:top w:w="15" w:type="dxa"/>
              <w:left w:w="15" w:type="dxa"/>
              <w:right w:w="15" w:type="dxa"/>
            </w:tcMar>
            <w:vAlign w:val="center"/>
          </w:tcPr>
          <w:p w14:paraId="23110431">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处1.85万元以上3.65万元以下的罚款；</w:t>
            </w:r>
          </w:p>
          <w:p w14:paraId="6E7AE44F">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拒不改正的，处9.5万元以上15.5万元以下的罚款</w:t>
            </w:r>
          </w:p>
        </w:tc>
        <w:tc>
          <w:tcPr>
            <w:tcW w:w="200" w:type="pct"/>
            <w:gridSpan w:val="2"/>
            <w:vMerge w:val="continue"/>
            <w:shd w:val="clear" w:color="auto" w:fill="auto"/>
            <w:tcMar>
              <w:top w:w="15" w:type="dxa"/>
              <w:left w:w="15" w:type="dxa"/>
              <w:right w:w="15" w:type="dxa"/>
            </w:tcMar>
            <w:vAlign w:val="center"/>
          </w:tcPr>
          <w:p w14:paraId="271B437B">
            <w:pPr>
              <w:shd w:val="clear"/>
              <w:jc w:val="left"/>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441956E2">
            <w:pPr>
              <w:shd w:val="clear"/>
              <w:jc w:val="left"/>
              <w:rPr>
                <w:rFonts w:hint="default" w:ascii="Times New Roman" w:hAnsi="Times New Roman" w:cs="Times New Roman" w:eastAsiaTheme="minorEastAsia"/>
                <w:color w:val="auto"/>
                <w:kern w:val="0"/>
                <w:sz w:val="18"/>
                <w:szCs w:val="18"/>
                <w:highlight w:val="none"/>
              </w:rPr>
            </w:pPr>
          </w:p>
        </w:tc>
      </w:tr>
      <w:tr w14:paraId="63FE7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117" w:type="pct"/>
            <w:gridSpan w:val="2"/>
            <w:vMerge w:val="continue"/>
            <w:shd w:val="clear" w:color="auto" w:fill="auto"/>
            <w:tcMar>
              <w:top w:w="15" w:type="dxa"/>
              <w:left w:w="15" w:type="dxa"/>
              <w:right w:w="15" w:type="dxa"/>
            </w:tcMar>
            <w:vAlign w:val="center"/>
          </w:tcPr>
          <w:p w14:paraId="5C7B373B">
            <w:pPr>
              <w:shd w:val="clear"/>
              <w:jc w:val="left"/>
              <w:rPr>
                <w:rFonts w:hint="default" w:ascii="Times New Roman" w:hAnsi="Times New Roman" w:cs="Times New Roman" w:eastAsiaTheme="minorEastAsia"/>
                <w:color w:val="auto"/>
                <w:kern w:val="0"/>
                <w:sz w:val="18"/>
                <w:szCs w:val="18"/>
                <w:highlight w:val="none"/>
              </w:rPr>
            </w:pPr>
          </w:p>
        </w:tc>
        <w:tc>
          <w:tcPr>
            <w:tcW w:w="411" w:type="pct"/>
            <w:gridSpan w:val="2"/>
            <w:vMerge w:val="continue"/>
            <w:shd w:val="clear" w:color="auto" w:fill="auto"/>
            <w:tcMar>
              <w:top w:w="15" w:type="dxa"/>
              <w:left w:w="15" w:type="dxa"/>
              <w:right w:w="15" w:type="dxa"/>
            </w:tcMar>
            <w:vAlign w:val="center"/>
          </w:tcPr>
          <w:p w14:paraId="2478B9AE">
            <w:pPr>
              <w:shd w:val="clear"/>
              <w:jc w:val="left"/>
              <w:rPr>
                <w:rFonts w:hint="default" w:ascii="Times New Roman" w:hAnsi="Times New Roman" w:cs="Times New Roman" w:eastAsiaTheme="minorEastAsia"/>
                <w:color w:val="auto"/>
                <w:kern w:val="0"/>
                <w:sz w:val="18"/>
                <w:szCs w:val="18"/>
                <w:highlight w:val="none"/>
              </w:rPr>
            </w:pPr>
          </w:p>
        </w:tc>
        <w:tc>
          <w:tcPr>
            <w:tcW w:w="1310" w:type="pct"/>
            <w:gridSpan w:val="2"/>
            <w:vMerge w:val="continue"/>
            <w:shd w:val="clear" w:color="auto" w:fill="auto"/>
            <w:tcMar>
              <w:top w:w="15" w:type="dxa"/>
              <w:left w:w="15" w:type="dxa"/>
              <w:right w:w="15" w:type="dxa"/>
            </w:tcMar>
            <w:vAlign w:val="center"/>
          </w:tcPr>
          <w:p w14:paraId="56AAA599">
            <w:pPr>
              <w:shd w:val="clear"/>
              <w:jc w:val="left"/>
              <w:rPr>
                <w:rFonts w:hint="default" w:ascii="Times New Roman" w:hAnsi="Times New Roman" w:cs="Times New Roman" w:eastAsiaTheme="minorEastAsia"/>
                <w:color w:val="auto"/>
                <w:kern w:val="0"/>
                <w:sz w:val="18"/>
                <w:szCs w:val="18"/>
                <w:highlight w:val="none"/>
              </w:rPr>
            </w:pPr>
          </w:p>
        </w:tc>
        <w:tc>
          <w:tcPr>
            <w:tcW w:w="1314" w:type="pct"/>
            <w:gridSpan w:val="2"/>
            <w:vMerge w:val="continue"/>
            <w:shd w:val="clear" w:color="auto" w:fill="auto"/>
            <w:tcMar>
              <w:top w:w="15" w:type="dxa"/>
              <w:left w:w="15" w:type="dxa"/>
              <w:right w:w="15" w:type="dxa"/>
            </w:tcMar>
            <w:vAlign w:val="center"/>
          </w:tcPr>
          <w:p w14:paraId="721E2207">
            <w:pPr>
              <w:shd w:val="clear"/>
              <w:jc w:val="left"/>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2C360C55">
            <w:pPr>
              <w:shd w:val="clear"/>
              <w:jc w:val="left"/>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51F7A725">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连续施工作业5天以上；</w:t>
            </w:r>
          </w:p>
          <w:p w14:paraId="09849507">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在举行中等学校招生考试、高等学校招生统一考试等特殊活动期间违法</w:t>
            </w:r>
          </w:p>
        </w:tc>
        <w:tc>
          <w:tcPr>
            <w:tcW w:w="545" w:type="pct"/>
            <w:gridSpan w:val="2"/>
            <w:shd w:val="clear" w:color="auto" w:fill="auto"/>
            <w:tcMar>
              <w:top w:w="15" w:type="dxa"/>
              <w:left w:w="15" w:type="dxa"/>
              <w:right w:w="15" w:type="dxa"/>
            </w:tcMar>
            <w:vAlign w:val="center"/>
          </w:tcPr>
          <w:p w14:paraId="60407759">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处3.65万元以上5万元以下的罚款；</w:t>
            </w:r>
          </w:p>
          <w:p w14:paraId="49650AAC">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拒不改正的，处15.5万元以上20万元以下的罚款</w:t>
            </w:r>
          </w:p>
        </w:tc>
        <w:tc>
          <w:tcPr>
            <w:tcW w:w="200" w:type="pct"/>
            <w:gridSpan w:val="2"/>
            <w:vMerge w:val="continue"/>
            <w:shd w:val="clear" w:color="auto" w:fill="auto"/>
            <w:tcMar>
              <w:top w:w="15" w:type="dxa"/>
              <w:left w:w="15" w:type="dxa"/>
              <w:right w:w="15" w:type="dxa"/>
            </w:tcMar>
            <w:vAlign w:val="center"/>
          </w:tcPr>
          <w:p w14:paraId="7F442805">
            <w:pPr>
              <w:shd w:val="clear"/>
              <w:jc w:val="left"/>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72045D05">
            <w:pPr>
              <w:shd w:val="clear"/>
              <w:jc w:val="left"/>
              <w:rPr>
                <w:rFonts w:hint="default" w:ascii="Times New Roman" w:hAnsi="Times New Roman" w:cs="Times New Roman" w:eastAsiaTheme="minorEastAsia"/>
                <w:color w:val="auto"/>
                <w:kern w:val="0"/>
                <w:sz w:val="18"/>
                <w:szCs w:val="18"/>
                <w:highlight w:val="none"/>
              </w:rPr>
            </w:pPr>
          </w:p>
        </w:tc>
      </w:tr>
      <w:tr w14:paraId="7094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trPr>
        <w:tc>
          <w:tcPr>
            <w:tcW w:w="117" w:type="pct"/>
            <w:gridSpan w:val="2"/>
            <w:vMerge w:val="restart"/>
            <w:shd w:val="clear" w:color="auto" w:fill="auto"/>
            <w:tcMar>
              <w:top w:w="15" w:type="dxa"/>
              <w:left w:w="15" w:type="dxa"/>
              <w:right w:w="15" w:type="dxa"/>
            </w:tcMar>
            <w:vAlign w:val="center"/>
          </w:tcPr>
          <w:p w14:paraId="75002059">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87</w:t>
            </w:r>
          </w:p>
        </w:tc>
        <w:tc>
          <w:tcPr>
            <w:tcW w:w="411" w:type="pct"/>
            <w:gridSpan w:val="2"/>
            <w:vMerge w:val="restart"/>
            <w:shd w:val="clear" w:color="auto" w:fill="auto"/>
            <w:tcMar>
              <w:top w:w="15" w:type="dxa"/>
              <w:left w:w="15" w:type="dxa"/>
              <w:right w:w="15" w:type="dxa"/>
            </w:tcMar>
            <w:vAlign w:val="center"/>
          </w:tcPr>
          <w:p w14:paraId="4FB8E182">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超过噪声排放标准排放社会生活噪声的</w:t>
            </w:r>
          </w:p>
        </w:tc>
        <w:tc>
          <w:tcPr>
            <w:tcW w:w="1310" w:type="pct"/>
            <w:gridSpan w:val="2"/>
            <w:vMerge w:val="restart"/>
            <w:shd w:val="clear" w:color="auto" w:fill="auto"/>
            <w:tcMar>
              <w:top w:w="15" w:type="dxa"/>
              <w:left w:w="15" w:type="dxa"/>
              <w:right w:w="15" w:type="dxa"/>
            </w:tcMar>
            <w:vAlign w:val="center"/>
          </w:tcPr>
          <w:p w14:paraId="4D34EBC7">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中华人民共和国噪声污染防治法》第二十二条第一款：“排放噪声、产生振动，应当符合噪声排放标准以及相关的环境振动控制标准和有关法律、法规、规章的要求。”第六十条：“全社会应当增强噪声污染防治意识，自觉减少社会生活噪声排放，积极开展噪声污染防治活动，形成人人有责、人人参与、人人受益的良好噪声污染防治氛围，共同维护生活环境和谐安宁。”</w:t>
            </w:r>
          </w:p>
        </w:tc>
        <w:tc>
          <w:tcPr>
            <w:tcW w:w="1314" w:type="pct"/>
            <w:gridSpan w:val="2"/>
            <w:vMerge w:val="restart"/>
            <w:shd w:val="clear" w:color="auto" w:fill="auto"/>
            <w:tcMar>
              <w:top w:w="15" w:type="dxa"/>
              <w:left w:w="15" w:type="dxa"/>
              <w:right w:w="15" w:type="dxa"/>
            </w:tcMar>
            <w:vAlign w:val="center"/>
          </w:tcPr>
          <w:p w14:paraId="678222E5">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《中华人民共和国噪声污染防治法》第八十一条第</w:t>
            </w:r>
            <w:r>
              <w:rPr>
                <w:rFonts w:hint="default" w:ascii="Times New Roman" w:hAnsi="Times New Roman" w:cs="Times New Roman" w:eastAsiaTheme="minorEastAsia"/>
                <w:color w:val="auto"/>
                <w:kern w:val="0"/>
                <w:sz w:val="18"/>
                <w:szCs w:val="18"/>
                <w:highlight w:val="none"/>
                <w:lang w:val="en-US" w:eastAsia="zh-CN"/>
              </w:rPr>
              <w:t>一</w:t>
            </w:r>
            <w:r>
              <w:rPr>
                <w:rFonts w:hint="default" w:ascii="Times New Roman" w:hAnsi="Times New Roman" w:cs="Times New Roman" w:eastAsiaTheme="minorEastAsia"/>
                <w:color w:val="auto"/>
                <w:kern w:val="0"/>
                <w:sz w:val="18"/>
                <w:szCs w:val="18"/>
                <w:highlight w:val="none"/>
              </w:rPr>
              <w:t>项：“违反本法规定，有下列行为之一，由地方人民政府指定的部门责令改正，处五千元以上五万元以下的罚款；拒不改正的，处五万元以上二十万元以下的罚款，并可以报经有批准权的人民政府批准，责令停业：（一）超过噪声排放标准排放社会生活噪声的；</w:t>
            </w:r>
            <w:r>
              <w:rPr>
                <w:rFonts w:hint="default" w:ascii="Times New Roman" w:hAnsi="Times New Roman" w:cs="Times New Roman" w:eastAsiaTheme="minorEastAsia"/>
                <w:color w:val="auto"/>
                <w:kern w:val="0"/>
                <w:sz w:val="18"/>
                <w:szCs w:val="18"/>
                <w:highlight w:val="none"/>
                <w:lang w:eastAsia="zh-CN"/>
              </w:rPr>
              <w:t>”</w:t>
            </w:r>
          </w:p>
        </w:tc>
        <w:tc>
          <w:tcPr>
            <w:tcW w:w="177" w:type="pct"/>
            <w:gridSpan w:val="2"/>
            <w:shd w:val="clear" w:color="auto" w:fill="auto"/>
            <w:tcMar>
              <w:top w:w="15" w:type="dxa"/>
              <w:left w:w="15" w:type="dxa"/>
              <w:right w:w="15" w:type="dxa"/>
            </w:tcMar>
            <w:vAlign w:val="center"/>
          </w:tcPr>
          <w:p w14:paraId="7C3ED737">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606ED357">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eastAsia="zh-CN"/>
              </w:rPr>
              <w:t>超过排放标准限值</w:t>
            </w:r>
            <w:r>
              <w:rPr>
                <w:rFonts w:hint="default" w:ascii="Times New Roman" w:hAnsi="Times New Roman" w:cs="Times New Roman" w:eastAsiaTheme="minorEastAsia"/>
                <w:color w:val="auto"/>
                <w:kern w:val="0"/>
                <w:sz w:val="18"/>
                <w:szCs w:val="18"/>
                <w:highlight w:val="none"/>
                <w:lang w:val="en-US" w:eastAsia="zh-CN"/>
              </w:rPr>
              <w:t>5</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03194F50">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处5000元以上1.85万元以下的罚款；</w:t>
            </w:r>
          </w:p>
          <w:p w14:paraId="09234EA2">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拒不改正的，处5万元以上9.5万元以下的罚款，</w:t>
            </w:r>
            <w:r>
              <w:rPr>
                <w:rFonts w:hint="default" w:ascii="Times New Roman" w:hAnsi="Times New Roman" w:cs="Times New Roman" w:eastAsiaTheme="minorEastAsia"/>
                <w:color w:val="auto"/>
                <w:kern w:val="0"/>
                <w:sz w:val="18"/>
                <w:szCs w:val="18"/>
                <w:highlight w:val="none"/>
              </w:rPr>
              <w:t>并可以报经有批准权的人民政府批准，责令停业</w:t>
            </w:r>
          </w:p>
        </w:tc>
        <w:tc>
          <w:tcPr>
            <w:tcW w:w="200" w:type="pct"/>
            <w:gridSpan w:val="2"/>
            <w:vMerge w:val="restart"/>
            <w:shd w:val="clear" w:color="auto" w:fill="auto"/>
            <w:tcMar>
              <w:top w:w="15" w:type="dxa"/>
              <w:left w:w="15" w:type="dxa"/>
              <w:right w:w="15" w:type="dxa"/>
            </w:tcMar>
            <w:vAlign w:val="center"/>
          </w:tcPr>
          <w:p w14:paraId="5EC5A043">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责令改正</w:t>
            </w:r>
          </w:p>
        </w:tc>
        <w:tc>
          <w:tcPr>
            <w:tcW w:w="390" w:type="pct"/>
            <w:gridSpan w:val="3"/>
            <w:vMerge w:val="restart"/>
            <w:shd w:val="clear" w:color="auto" w:fill="auto"/>
            <w:tcMar>
              <w:top w:w="15" w:type="dxa"/>
              <w:left w:w="15" w:type="dxa"/>
              <w:right w:w="15" w:type="dxa"/>
            </w:tcMar>
            <w:vAlign w:val="center"/>
          </w:tcPr>
          <w:p w14:paraId="3F669AD4">
            <w:pPr>
              <w:shd w:val="clear"/>
              <w:jc w:val="left"/>
              <w:rPr>
                <w:rFonts w:hint="default" w:ascii="Times New Roman" w:hAnsi="Times New Roman" w:cs="Times New Roman" w:eastAsiaTheme="minorEastAsia"/>
                <w:color w:val="auto"/>
                <w:sz w:val="18"/>
                <w:szCs w:val="18"/>
                <w:highlight w:val="none"/>
                <w:lang w:val="en-US" w:eastAsia="zh-CN"/>
              </w:rPr>
            </w:pPr>
          </w:p>
          <w:p w14:paraId="7EA27E6A">
            <w:pPr>
              <w:shd w:val="clear"/>
              <w:jc w:val="left"/>
              <w:rPr>
                <w:rFonts w:hint="default" w:ascii="Times New Roman" w:hAnsi="Times New Roman" w:cs="Times New Roman" w:eastAsiaTheme="minorEastAsia"/>
                <w:color w:val="auto"/>
                <w:sz w:val="18"/>
                <w:szCs w:val="18"/>
                <w:highlight w:val="none"/>
                <w:lang w:val="en-US" w:eastAsia="zh-CN"/>
              </w:rPr>
            </w:pPr>
          </w:p>
          <w:p w14:paraId="317FF597">
            <w:pPr>
              <w:shd w:val="clear"/>
              <w:jc w:val="left"/>
              <w:rPr>
                <w:rFonts w:hint="default" w:ascii="Times New Roman" w:hAnsi="Times New Roman" w:cs="Times New Roman" w:eastAsiaTheme="minorEastAsia"/>
                <w:color w:val="auto"/>
                <w:sz w:val="18"/>
                <w:szCs w:val="18"/>
                <w:highlight w:val="none"/>
                <w:lang w:val="en-US" w:eastAsia="zh-CN"/>
              </w:rPr>
            </w:pPr>
          </w:p>
        </w:tc>
      </w:tr>
      <w:tr w14:paraId="39D0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trPr>
        <w:tc>
          <w:tcPr>
            <w:tcW w:w="117" w:type="pct"/>
            <w:gridSpan w:val="2"/>
            <w:vMerge w:val="continue"/>
            <w:shd w:val="clear" w:color="auto" w:fill="auto"/>
            <w:tcMar>
              <w:top w:w="15" w:type="dxa"/>
              <w:left w:w="15" w:type="dxa"/>
              <w:right w:w="15" w:type="dxa"/>
            </w:tcMar>
            <w:vAlign w:val="center"/>
          </w:tcPr>
          <w:p w14:paraId="33E10E3A">
            <w:pPr>
              <w:shd w:val="clear"/>
              <w:jc w:val="left"/>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2F6BF3B6">
            <w:pPr>
              <w:shd w:val="clear"/>
              <w:jc w:val="left"/>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3E3827C5">
            <w:pPr>
              <w:shd w:val="clear"/>
              <w:jc w:val="left"/>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15AD14E1">
            <w:pPr>
              <w:shd w:val="clear"/>
              <w:jc w:val="left"/>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3A920287">
            <w:pPr>
              <w:shd w:val="clear"/>
              <w:jc w:val="left"/>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tcMar>
              <w:top w:w="15" w:type="dxa"/>
              <w:left w:w="15" w:type="dxa"/>
              <w:right w:w="15" w:type="dxa"/>
            </w:tcMar>
            <w:vAlign w:val="center"/>
          </w:tcPr>
          <w:p w14:paraId="0467101B">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eastAsia="zh-CN"/>
              </w:rPr>
              <w:t>超过排放标准限值</w:t>
            </w:r>
            <w:r>
              <w:rPr>
                <w:rFonts w:hint="default" w:ascii="Times New Roman" w:hAnsi="Times New Roman" w:cs="Times New Roman" w:eastAsiaTheme="minorEastAsia"/>
                <w:color w:val="auto"/>
                <w:kern w:val="0"/>
                <w:sz w:val="18"/>
                <w:szCs w:val="18"/>
                <w:highlight w:val="none"/>
                <w:lang w:val="en-US" w:eastAsia="zh-CN"/>
              </w:rPr>
              <w:t>5</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lang w:val="en-US" w:eastAsia="zh-CN"/>
              </w:rPr>
              <w:t>10</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189B27A2">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处1.85万元以上3.65万元以下的罚款；</w:t>
            </w:r>
          </w:p>
          <w:p w14:paraId="497D01DA">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拒不改正的，处9.5万元以上15.5万元以下的罚款，</w:t>
            </w:r>
            <w:r>
              <w:rPr>
                <w:rFonts w:hint="default" w:ascii="Times New Roman" w:hAnsi="Times New Roman" w:cs="Times New Roman" w:eastAsiaTheme="minorEastAsia"/>
                <w:color w:val="auto"/>
                <w:kern w:val="0"/>
                <w:sz w:val="18"/>
                <w:szCs w:val="18"/>
                <w:highlight w:val="none"/>
              </w:rPr>
              <w:t>并可以报经有批准权的人民政府批准，责令停业</w:t>
            </w:r>
          </w:p>
        </w:tc>
        <w:tc>
          <w:tcPr>
            <w:tcW w:w="200" w:type="pct"/>
            <w:gridSpan w:val="2"/>
            <w:vMerge w:val="continue"/>
            <w:shd w:val="clear" w:color="auto" w:fill="auto"/>
            <w:tcMar>
              <w:top w:w="15" w:type="dxa"/>
              <w:left w:w="15" w:type="dxa"/>
              <w:right w:w="15" w:type="dxa"/>
            </w:tcMar>
            <w:vAlign w:val="center"/>
          </w:tcPr>
          <w:p w14:paraId="111E8AB2">
            <w:pPr>
              <w:shd w:val="clear"/>
              <w:jc w:val="left"/>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720761B5">
            <w:pPr>
              <w:shd w:val="clear"/>
              <w:jc w:val="left"/>
              <w:rPr>
                <w:rFonts w:hint="default" w:ascii="Times New Roman" w:hAnsi="Times New Roman" w:cs="Times New Roman" w:eastAsiaTheme="minorEastAsia"/>
                <w:color w:val="auto"/>
                <w:kern w:val="0"/>
                <w:sz w:val="18"/>
                <w:szCs w:val="18"/>
                <w:highlight w:val="none"/>
              </w:rPr>
            </w:pPr>
          </w:p>
        </w:tc>
      </w:tr>
      <w:tr w14:paraId="44DA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trPr>
        <w:tc>
          <w:tcPr>
            <w:tcW w:w="117" w:type="pct"/>
            <w:gridSpan w:val="2"/>
            <w:vMerge w:val="continue"/>
            <w:shd w:val="clear" w:color="auto" w:fill="auto"/>
            <w:tcMar>
              <w:top w:w="15" w:type="dxa"/>
              <w:left w:w="15" w:type="dxa"/>
              <w:right w:w="15" w:type="dxa"/>
            </w:tcMar>
            <w:vAlign w:val="center"/>
          </w:tcPr>
          <w:p w14:paraId="27D3D6F2">
            <w:pPr>
              <w:shd w:val="clear"/>
              <w:jc w:val="left"/>
              <w:rPr>
                <w:rFonts w:hint="default" w:ascii="Times New Roman" w:hAnsi="Times New Roman" w:cs="Times New Roman" w:eastAsiaTheme="minorEastAsia"/>
                <w:color w:val="auto"/>
                <w:kern w:val="0"/>
                <w:sz w:val="18"/>
                <w:szCs w:val="18"/>
                <w:highlight w:val="none"/>
              </w:rPr>
            </w:pPr>
          </w:p>
        </w:tc>
        <w:tc>
          <w:tcPr>
            <w:tcW w:w="411" w:type="pct"/>
            <w:gridSpan w:val="2"/>
            <w:vMerge w:val="continue"/>
            <w:shd w:val="clear" w:color="auto" w:fill="auto"/>
            <w:tcMar>
              <w:top w:w="15" w:type="dxa"/>
              <w:left w:w="15" w:type="dxa"/>
              <w:right w:w="15" w:type="dxa"/>
            </w:tcMar>
            <w:vAlign w:val="center"/>
          </w:tcPr>
          <w:p w14:paraId="1FD4A1BC">
            <w:pPr>
              <w:shd w:val="clear"/>
              <w:jc w:val="left"/>
              <w:rPr>
                <w:rFonts w:hint="default" w:ascii="Times New Roman" w:hAnsi="Times New Roman" w:cs="Times New Roman" w:eastAsiaTheme="minorEastAsia"/>
                <w:color w:val="auto"/>
                <w:kern w:val="0"/>
                <w:sz w:val="18"/>
                <w:szCs w:val="18"/>
                <w:highlight w:val="none"/>
              </w:rPr>
            </w:pPr>
          </w:p>
        </w:tc>
        <w:tc>
          <w:tcPr>
            <w:tcW w:w="1310" w:type="pct"/>
            <w:gridSpan w:val="2"/>
            <w:vMerge w:val="continue"/>
            <w:shd w:val="clear" w:color="auto" w:fill="auto"/>
            <w:tcMar>
              <w:top w:w="15" w:type="dxa"/>
              <w:left w:w="15" w:type="dxa"/>
              <w:right w:w="15" w:type="dxa"/>
            </w:tcMar>
            <w:vAlign w:val="center"/>
          </w:tcPr>
          <w:p w14:paraId="292E8F00">
            <w:pPr>
              <w:shd w:val="clear"/>
              <w:jc w:val="left"/>
              <w:rPr>
                <w:rFonts w:hint="default" w:ascii="Times New Roman" w:hAnsi="Times New Roman" w:cs="Times New Roman" w:eastAsiaTheme="minorEastAsia"/>
                <w:color w:val="auto"/>
                <w:kern w:val="0"/>
                <w:sz w:val="18"/>
                <w:szCs w:val="18"/>
                <w:highlight w:val="none"/>
              </w:rPr>
            </w:pPr>
          </w:p>
        </w:tc>
        <w:tc>
          <w:tcPr>
            <w:tcW w:w="1314" w:type="pct"/>
            <w:gridSpan w:val="2"/>
            <w:vMerge w:val="continue"/>
            <w:shd w:val="clear" w:color="auto" w:fill="auto"/>
            <w:tcMar>
              <w:top w:w="15" w:type="dxa"/>
              <w:left w:w="15" w:type="dxa"/>
              <w:right w:w="15" w:type="dxa"/>
            </w:tcMar>
            <w:vAlign w:val="center"/>
          </w:tcPr>
          <w:p w14:paraId="5BB2B037">
            <w:pPr>
              <w:shd w:val="clear"/>
              <w:jc w:val="left"/>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2C98F293">
            <w:pPr>
              <w:shd w:val="clear"/>
              <w:jc w:val="left"/>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4AA0DFFF">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eastAsia="zh-CN"/>
              </w:rPr>
              <w:t>超过排放标准限值</w:t>
            </w:r>
            <w:r>
              <w:rPr>
                <w:rFonts w:hint="default" w:ascii="Times New Roman" w:hAnsi="Times New Roman" w:cs="Times New Roman" w:eastAsiaTheme="minorEastAsia"/>
                <w:color w:val="auto"/>
                <w:kern w:val="0"/>
                <w:sz w:val="18"/>
                <w:szCs w:val="18"/>
                <w:highlight w:val="none"/>
                <w:lang w:val="en-US" w:eastAsia="zh-CN"/>
              </w:rPr>
              <w:t>10%以上</w:t>
            </w:r>
          </w:p>
        </w:tc>
        <w:tc>
          <w:tcPr>
            <w:tcW w:w="545" w:type="pct"/>
            <w:gridSpan w:val="2"/>
            <w:shd w:val="clear" w:color="auto" w:fill="auto"/>
            <w:tcMar>
              <w:top w:w="15" w:type="dxa"/>
              <w:left w:w="15" w:type="dxa"/>
              <w:right w:w="15" w:type="dxa"/>
            </w:tcMar>
            <w:vAlign w:val="center"/>
          </w:tcPr>
          <w:p w14:paraId="0EAFD62E">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处3.65万元以上5万元以下的罚款；</w:t>
            </w:r>
          </w:p>
          <w:p w14:paraId="0A97B075">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拒不改正的，处15.5万元以上20万元以下的罚款，</w:t>
            </w:r>
            <w:r>
              <w:rPr>
                <w:rFonts w:hint="default" w:ascii="Times New Roman" w:hAnsi="Times New Roman" w:cs="Times New Roman" w:eastAsiaTheme="minorEastAsia"/>
                <w:color w:val="auto"/>
                <w:kern w:val="0"/>
                <w:sz w:val="18"/>
                <w:szCs w:val="18"/>
                <w:highlight w:val="none"/>
              </w:rPr>
              <w:t>并可以报经有批准权的人民政府批准，责令停业</w:t>
            </w:r>
          </w:p>
        </w:tc>
        <w:tc>
          <w:tcPr>
            <w:tcW w:w="200" w:type="pct"/>
            <w:gridSpan w:val="2"/>
            <w:vMerge w:val="continue"/>
            <w:shd w:val="clear" w:color="auto" w:fill="auto"/>
            <w:tcMar>
              <w:top w:w="15" w:type="dxa"/>
              <w:left w:w="15" w:type="dxa"/>
              <w:right w:w="15" w:type="dxa"/>
            </w:tcMar>
            <w:vAlign w:val="center"/>
          </w:tcPr>
          <w:p w14:paraId="393AB634">
            <w:pPr>
              <w:shd w:val="clear"/>
              <w:jc w:val="left"/>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26D828C7">
            <w:pPr>
              <w:shd w:val="clear"/>
              <w:jc w:val="left"/>
              <w:rPr>
                <w:rFonts w:hint="default" w:ascii="Times New Roman" w:hAnsi="Times New Roman" w:cs="Times New Roman" w:eastAsiaTheme="minorEastAsia"/>
                <w:color w:val="auto"/>
                <w:kern w:val="0"/>
                <w:sz w:val="18"/>
                <w:szCs w:val="18"/>
                <w:highlight w:val="none"/>
              </w:rPr>
            </w:pPr>
          </w:p>
        </w:tc>
      </w:tr>
      <w:tr w14:paraId="1D49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117" w:type="pct"/>
            <w:gridSpan w:val="2"/>
            <w:vMerge w:val="restart"/>
            <w:shd w:val="clear" w:color="auto" w:fill="auto"/>
            <w:tcMar>
              <w:top w:w="15" w:type="dxa"/>
              <w:left w:w="15" w:type="dxa"/>
              <w:right w:w="15" w:type="dxa"/>
            </w:tcMar>
            <w:vAlign w:val="center"/>
          </w:tcPr>
          <w:p w14:paraId="156D3BEC">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88</w:t>
            </w:r>
          </w:p>
        </w:tc>
        <w:tc>
          <w:tcPr>
            <w:tcW w:w="411" w:type="pct"/>
            <w:gridSpan w:val="2"/>
            <w:vMerge w:val="restart"/>
            <w:shd w:val="clear" w:color="auto" w:fill="auto"/>
            <w:tcMar>
              <w:top w:w="15" w:type="dxa"/>
              <w:left w:w="15" w:type="dxa"/>
              <w:right w:w="15" w:type="dxa"/>
            </w:tcMar>
            <w:vAlign w:val="center"/>
          </w:tcPr>
          <w:p w14:paraId="0AA09B6C">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在商业经营活动中使用高音广播喇叭或者采用其他持续反复发出高噪声的方法进行广告宣传的</w:t>
            </w:r>
          </w:p>
        </w:tc>
        <w:tc>
          <w:tcPr>
            <w:tcW w:w="1310" w:type="pct"/>
            <w:gridSpan w:val="2"/>
            <w:vMerge w:val="restart"/>
            <w:shd w:val="clear" w:color="auto" w:fill="auto"/>
            <w:tcMar>
              <w:top w:w="15" w:type="dxa"/>
              <w:left w:w="15" w:type="dxa"/>
              <w:right w:w="15" w:type="dxa"/>
            </w:tcMar>
            <w:vAlign w:val="center"/>
          </w:tcPr>
          <w:p w14:paraId="4619BE07">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《中华人民共和国噪声污染防治法》第六十三条</w:t>
            </w:r>
            <w:r>
              <w:rPr>
                <w:rFonts w:hint="default" w:ascii="Times New Roman" w:hAnsi="Times New Roman" w:cs="Times New Roman" w:eastAsiaTheme="minorEastAsia"/>
                <w:color w:val="auto"/>
                <w:kern w:val="0"/>
                <w:sz w:val="18"/>
                <w:szCs w:val="18"/>
                <w:highlight w:val="none"/>
                <w:lang w:val="en-US" w:eastAsia="zh-CN"/>
              </w:rPr>
              <w:t>第一款：“</w:t>
            </w:r>
            <w:r>
              <w:rPr>
                <w:rFonts w:hint="default" w:ascii="Times New Roman" w:hAnsi="Times New Roman" w:cs="Times New Roman" w:eastAsiaTheme="minorEastAsia"/>
                <w:color w:val="auto"/>
                <w:kern w:val="0"/>
                <w:sz w:val="18"/>
                <w:szCs w:val="18"/>
                <w:highlight w:val="none"/>
              </w:rPr>
              <w:t>禁止在商业经营活动中使用高音广播喇叭或者采用其他持续反复发出高噪声的方法进行广告宣传。</w:t>
            </w:r>
            <w:r>
              <w:rPr>
                <w:rFonts w:hint="default" w:ascii="Times New Roman" w:hAnsi="Times New Roman" w:cs="Times New Roman" w:eastAsiaTheme="minorEastAsia"/>
                <w:color w:val="auto"/>
                <w:kern w:val="0"/>
                <w:sz w:val="18"/>
                <w:szCs w:val="18"/>
                <w:highlight w:val="none"/>
                <w:lang w:eastAsia="zh-CN"/>
              </w:rPr>
              <w:t>”</w:t>
            </w:r>
          </w:p>
        </w:tc>
        <w:tc>
          <w:tcPr>
            <w:tcW w:w="1314" w:type="pct"/>
            <w:gridSpan w:val="2"/>
            <w:vMerge w:val="restart"/>
            <w:shd w:val="clear" w:color="auto" w:fill="auto"/>
            <w:tcMar>
              <w:top w:w="15" w:type="dxa"/>
              <w:left w:w="15" w:type="dxa"/>
              <w:right w:w="15" w:type="dxa"/>
            </w:tcMar>
            <w:vAlign w:val="center"/>
          </w:tcPr>
          <w:p w14:paraId="670561A3">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《中华人民共和国噪声污染防治法》第八十一条</w:t>
            </w:r>
            <w:r>
              <w:rPr>
                <w:rFonts w:hint="default" w:ascii="Times New Roman" w:hAnsi="Times New Roman" w:cs="Times New Roman" w:eastAsiaTheme="minorEastAsia"/>
                <w:color w:val="auto"/>
                <w:kern w:val="0"/>
                <w:sz w:val="18"/>
                <w:szCs w:val="18"/>
                <w:highlight w:val="none"/>
                <w:lang w:val="en-US" w:eastAsia="zh-CN"/>
              </w:rPr>
              <w:t>第二项：“</w:t>
            </w:r>
            <w:r>
              <w:rPr>
                <w:rFonts w:hint="default" w:ascii="Times New Roman" w:hAnsi="Times New Roman" w:cs="Times New Roman" w:eastAsiaTheme="minorEastAsia"/>
                <w:color w:val="auto"/>
                <w:kern w:val="0"/>
                <w:sz w:val="18"/>
                <w:szCs w:val="18"/>
                <w:highlight w:val="none"/>
              </w:rPr>
              <w:t>违反本法规定，有下列行为之一，由地方人民政府指定的部门责令改正，处五千元以上五万元以下的罚款；拒不改正的，处五万元以上二十万元以下的罚款，并可以报经有批准权的人民政府批准，责令停业：（二）在商业经营活动中使用高音广播喇叭或者采用其他持续反复发出高噪声的方法进行广告宣传的；</w:t>
            </w:r>
            <w:r>
              <w:rPr>
                <w:rFonts w:hint="default" w:ascii="Times New Roman" w:hAnsi="Times New Roman" w:cs="Times New Roman" w:eastAsiaTheme="minorEastAsia"/>
                <w:color w:val="auto"/>
                <w:kern w:val="0"/>
                <w:sz w:val="18"/>
                <w:szCs w:val="18"/>
                <w:highlight w:val="none"/>
                <w:lang w:eastAsia="zh-CN"/>
              </w:rPr>
              <w:t>”</w:t>
            </w:r>
          </w:p>
        </w:tc>
        <w:tc>
          <w:tcPr>
            <w:tcW w:w="177" w:type="pct"/>
            <w:gridSpan w:val="2"/>
            <w:shd w:val="clear" w:color="auto" w:fill="auto"/>
            <w:tcMar>
              <w:top w:w="15" w:type="dxa"/>
              <w:left w:w="15" w:type="dxa"/>
              <w:right w:w="15" w:type="dxa"/>
            </w:tcMar>
            <w:vAlign w:val="center"/>
          </w:tcPr>
          <w:p w14:paraId="25052744">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015A6332">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初次被查处</w:t>
            </w:r>
          </w:p>
        </w:tc>
        <w:tc>
          <w:tcPr>
            <w:tcW w:w="545" w:type="pct"/>
            <w:gridSpan w:val="2"/>
            <w:shd w:val="clear" w:color="auto" w:fill="auto"/>
            <w:tcMar>
              <w:top w:w="15" w:type="dxa"/>
              <w:left w:w="15" w:type="dxa"/>
              <w:right w:w="15" w:type="dxa"/>
            </w:tcMar>
            <w:vAlign w:val="center"/>
          </w:tcPr>
          <w:p w14:paraId="6DFA1937">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处5000元以上1.85万元以下的罚款；</w:t>
            </w:r>
          </w:p>
          <w:p w14:paraId="515174EA">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拒不改正的，处5万元以上9.5万元以下的罚款，</w:t>
            </w:r>
            <w:r>
              <w:rPr>
                <w:rFonts w:hint="default" w:ascii="Times New Roman" w:hAnsi="Times New Roman" w:cs="Times New Roman" w:eastAsiaTheme="minorEastAsia"/>
                <w:color w:val="auto"/>
                <w:kern w:val="0"/>
                <w:sz w:val="18"/>
                <w:szCs w:val="18"/>
                <w:highlight w:val="none"/>
              </w:rPr>
              <w:t>并可以报经有批准权的人民政府批准，责令停业</w:t>
            </w:r>
          </w:p>
        </w:tc>
        <w:tc>
          <w:tcPr>
            <w:tcW w:w="200" w:type="pct"/>
            <w:gridSpan w:val="2"/>
            <w:vMerge w:val="restart"/>
            <w:shd w:val="clear" w:color="auto" w:fill="auto"/>
            <w:tcMar>
              <w:top w:w="15" w:type="dxa"/>
              <w:left w:w="15" w:type="dxa"/>
              <w:right w:w="15" w:type="dxa"/>
            </w:tcMar>
            <w:vAlign w:val="center"/>
          </w:tcPr>
          <w:p w14:paraId="76EBC415">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责令改正</w:t>
            </w:r>
          </w:p>
        </w:tc>
        <w:tc>
          <w:tcPr>
            <w:tcW w:w="390" w:type="pct"/>
            <w:gridSpan w:val="3"/>
            <w:vMerge w:val="restart"/>
            <w:shd w:val="clear" w:color="auto" w:fill="auto"/>
            <w:tcMar>
              <w:top w:w="15" w:type="dxa"/>
              <w:left w:w="15" w:type="dxa"/>
              <w:right w:w="15" w:type="dxa"/>
            </w:tcMar>
            <w:vAlign w:val="center"/>
          </w:tcPr>
          <w:p w14:paraId="40E4BB19">
            <w:pPr>
              <w:shd w:val="clear"/>
              <w:jc w:val="left"/>
              <w:rPr>
                <w:rFonts w:hint="default" w:ascii="Times New Roman" w:hAnsi="Times New Roman" w:cs="Times New Roman" w:eastAsiaTheme="minorEastAsia"/>
                <w:color w:val="auto"/>
                <w:sz w:val="18"/>
                <w:szCs w:val="18"/>
                <w:highlight w:val="none"/>
                <w:lang w:val="en-US" w:eastAsia="zh-CN"/>
              </w:rPr>
            </w:pPr>
          </w:p>
        </w:tc>
      </w:tr>
      <w:tr w14:paraId="5E7C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117" w:type="pct"/>
            <w:gridSpan w:val="2"/>
            <w:vMerge w:val="continue"/>
            <w:shd w:val="clear" w:color="auto" w:fill="auto"/>
            <w:tcMar>
              <w:top w:w="15" w:type="dxa"/>
              <w:left w:w="15" w:type="dxa"/>
              <w:right w:w="15" w:type="dxa"/>
            </w:tcMar>
            <w:vAlign w:val="center"/>
          </w:tcPr>
          <w:p w14:paraId="054D5C6D">
            <w:pPr>
              <w:shd w:val="clear"/>
              <w:jc w:val="left"/>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677E4A24">
            <w:pPr>
              <w:shd w:val="clear"/>
              <w:jc w:val="left"/>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26E63312">
            <w:pPr>
              <w:shd w:val="clear"/>
              <w:jc w:val="left"/>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3F58856B">
            <w:pPr>
              <w:shd w:val="clear"/>
              <w:jc w:val="left"/>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1BCC01EE">
            <w:pPr>
              <w:shd w:val="clear"/>
              <w:jc w:val="left"/>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tcMar>
              <w:top w:w="15" w:type="dxa"/>
              <w:left w:w="15" w:type="dxa"/>
              <w:right w:w="15" w:type="dxa"/>
            </w:tcMar>
            <w:vAlign w:val="center"/>
          </w:tcPr>
          <w:p w14:paraId="5639077C">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2</w:t>
            </w:r>
            <w:r>
              <w:rPr>
                <w:rFonts w:hint="default" w:ascii="Times New Roman" w:hAnsi="Times New Roman" w:cs="Times New Roman" w:eastAsiaTheme="minorEastAsia"/>
                <w:color w:val="auto"/>
                <w:kern w:val="0"/>
                <w:sz w:val="18"/>
                <w:szCs w:val="18"/>
                <w:highlight w:val="none"/>
                <w:lang w:eastAsia="zh-CN"/>
              </w:rPr>
              <w:t>次被查处</w:t>
            </w:r>
          </w:p>
        </w:tc>
        <w:tc>
          <w:tcPr>
            <w:tcW w:w="545" w:type="pct"/>
            <w:gridSpan w:val="2"/>
            <w:shd w:val="clear" w:color="auto" w:fill="auto"/>
            <w:tcMar>
              <w:top w:w="15" w:type="dxa"/>
              <w:left w:w="15" w:type="dxa"/>
              <w:right w:w="15" w:type="dxa"/>
            </w:tcMar>
            <w:vAlign w:val="center"/>
          </w:tcPr>
          <w:p w14:paraId="0C2F8917">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处1.85万元以上3.65万元以下的罚款；</w:t>
            </w:r>
          </w:p>
          <w:p w14:paraId="308AD39A">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拒不改正的，处9.5万元以上15.5万元以下的罚款，</w:t>
            </w:r>
            <w:r>
              <w:rPr>
                <w:rFonts w:hint="default" w:ascii="Times New Roman" w:hAnsi="Times New Roman" w:cs="Times New Roman" w:eastAsiaTheme="minorEastAsia"/>
                <w:color w:val="auto"/>
                <w:kern w:val="0"/>
                <w:sz w:val="18"/>
                <w:szCs w:val="18"/>
                <w:highlight w:val="none"/>
              </w:rPr>
              <w:t>并可以报经有批准权的人民政府批准，责令停业</w:t>
            </w:r>
          </w:p>
        </w:tc>
        <w:tc>
          <w:tcPr>
            <w:tcW w:w="200" w:type="pct"/>
            <w:gridSpan w:val="2"/>
            <w:vMerge w:val="continue"/>
            <w:shd w:val="clear" w:color="auto" w:fill="auto"/>
            <w:tcMar>
              <w:top w:w="15" w:type="dxa"/>
              <w:left w:w="15" w:type="dxa"/>
              <w:right w:w="15" w:type="dxa"/>
            </w:tcMar>
            <w:vAlign w:val="center"/>
          </w:tcPr>
          <w:p w14:paraId="5344F243">
            <w:pPr>
              <w:shd w:val="clear"/>
              <w:jc w:val="left"/>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5E4E5C18">
            <w:pPr>
              <w:shd w:val="clear"/>
              <w:jc w:val="left"/>
              <w:rPr>
                <w:rFonts w:hint="default" w:ascii="Times New Roman" w:hAnsi="Times New Roman" w:cs="Times New Roman" w:eastAsiaTheme="minorEastAsia"/>
                <w:color w:val="auto"/>
                <w:kern w:val="0"/>
                <w:sz w:val="18"/>
                <w:szCs w:val="18"/>
                <w:highlight w:val="none"/>
              </w:rPr>
            </w:pPr>
          </w:p>
        </w:tc>
      </w:tr>
      <w:tr w14:paraId="1AC3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117" w:type="pct"/>
            <w:gridSpan w:val="2"/>
            <w:vMerge w:val="continue"/>
            <w:shd w:val="clear" w:color="auto" w:fill="auto"/>
            <w:tcMar>
              <w:top w:w="15" w:type="dxa"/>
              <w:left w:w="15" w:type="dxa"/>
              <w:right w:w="15" w:type="dxa"/>
            </w:tcMar>
            <w:vAlign w:val="center"/>
          </w:tcPr>
          <w:p w14:paraId="63C3A4A8">
            <w:pPr>
              <w:shd w:val="clear"/>
              <w:jc w:val="left"/>
              <w:rPr>
                <w:rFonts w:hint="default" w:ascii="Times New Roman" w:hAnsi="Times New Roman" w:cs="Times New Roman" w:eastAsiaTheme="minorEastAsia"/>
                <w:color w:val="auto"/>
                <w:kern w:val="0"/>
                <w:sz w:val="18"/>
                <w:szCs w:val="18"/>
                <w:highlight w:val="none"/>
              </w:rPr>
            </w:pPr>
          </w:p>
        </w:tc>
        <w:tc>
          <w:tcPr>
            <w:tcW w:w="411" w:type="pct"/>
            <w:gridSpan w:val="2"/>
            <w:vMerge w:val="continue"/>
            <w:shd w:val="clear" w:color="auto" w:fill="auto"/>
            <w:tcMar>
              <w:top w:w="15" w:type="dxa"/>
              <w:left w:w="15" w:type="dxa"/>
              <w:right w:w="15" w:type="dxa"/>
            </w:tcMar>
            <w:vAlign w:val="center"/>
          </w:tcPr>
          <w:p w14:paraId="133EBC6A">
            <w:pPr>
              <w:shd w:val="clear"/>
              <w:jc w:val="left"/>
              <w:rPr>
                <w:rFonts w:hint="default" w:ascii="Times New Roman" w:hAnsi="Times New Roman" w:cs="Times New Roman" w:eastAsiaTheme="minorEastAsia"/>
                <w:color w:val="auto"/>
                <w:kern w:val="0"/>
                <w:sz w:val="18"/>
                <w:szCs w:val="18"/>
                <w:highlight w:val="none"/>
              </w:rPr>
            </w:pPr>
          </w:p>
        </w:tc>
        <w:tc>
          <w:tcPr>
            <w:tcW w:w="1310" w:type="pct"/>
            <w:gridSpan w:val="2"/>
            <w:vMerge w:val="continue"/>
            <w:shd w:val="clear" w:color="auto" w:fill="auto"/>
            <w:tcMar>
              <w:top w:w="15" w:type="dxa"/>
              <w:left w:w="15" w:type="dxa"/>
              <w:right w:w="15" w:type="dxa"/>
            </w:tcMar>
            <w:vAlign w:val="center"/>
          </w:tcPr>
          <w:p w14:paraId="28E25B4D">
            <w:pPr>
              <w:shd w:val="clear"/>
              <w:jc w:val="left"/>
              <w:rPr>
                <w:rFonts w:hint="default" w:ascii="Times New Roman" w:hAnsi="Times New Roman" w:cs="Times New Roman" w:eastAsiaTheme="minorEastAsia"/>
                <w:color w:val="auto"/>
                <w:kern w:val="0"/>
                <w:sz w:val="18"/>
                <w:szCs w:val="18"/>
                <w:highlight w:val="none"/>
              </w:rPr>
            </w:pPr>
          </w:p>
        </w:tc>
        <w:tc>
          <w:tcPr>
            <w:tcW w:w="1314" w:type="pct"/>
            <w:gridSpan w:val="2"/>
            <w:vMerge w:val="continue"/>
            <w:shd w:val="clear" w:color="auto" w:fill="auto"/>
            <w:tcMar>
              <w:top w:w="15" w:type="dxa"/>
              <w:left w:w="15" w:type="dxa"/>
              <w:right w:w="15" w:type="dxa"/>
            </w:tcMar>
            <w:vAlign w:val="center"/>
          </w:tcPr>
          <w:p w14:paraId="4FE3E4E4">
            <w:pPr>
              <w:shd w:val="clear"/>
              <w:jc w:val="left"/>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0F4059C5">
            <w:pPr>
              <w:shd w:val="clear"/>
              <w:jc w:val="left"/>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240EDC5A">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被查处次数</w:t>
            </w:r>
            <w:r>
              <w:rPr>
                <w:rFonts w:hint="default" w:ascii="Times New Roman" w:hAnsi="Times New Roman" w:cs="Times New Roman" w:eastAsiaTheme="minorEastAsia"/>
                <w:color w:val="auto"/>
                <w:kern w:val="0"/>
                <w:sz w:val="18"/>
                <w:szCs w:val="18"/>
                <w:highlight w:val="none"/>
                <w:lang w:val="en-US" w:eastAsia="zh-CN"/>
              </w:rPr>
              <w:t>3</w:t>
            </w:r>
            <w:r>
              <w:rPr>
                <w:rFonts w:hint="default" w:ascii="Times New Roman" w:hAnsi="Times New Roman" w:cs="Times New Roman" w:eastAsiaTheme="minorEastAsia"/>
                <w:color w:val="auto"/>
                <w:kern w:val="0"/>
                <w:sz w:val="18"/>
                <w:szCs w:val="18"/>
                <w:highlight w:val="none"/>
                <w:lang w:eastAsia="zh-CN"/>
              </w:rPr>
              <w:t>次以上；</w:t>
            </w:r>
          </w:p>
          <w:p w14:paraId="0AD2F10D">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在举行中等学校招生考试、高等学校招生统一考试等特殊活动期间违法</w:t>
            </w:r>
          </w:p>
        </w:tc>
        <w:tc>
          <w:tcPr>
            <w:tcW w:w="545" w:type="pct"/>
            <w:gridSpan w:val="2"/>
            <w:shd w:val="clear" w:color="auto" w:fill="auto"/>
            <w:tcMar>
              <w:top w:w="15" w:type="dxa"/>
              <w:left w:w="15" w:type="dxa"/>
              <w:right w:w="15" w:type="dxa"/>
            </w:tcMar>
            <w:vAlign w:val="center"/>
          </w:tcPr>
          <w:p w14:paraId="222530F6">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处3.65万元以上5万元以下的罚款；</w:t>
            </w:r>
          </w:p>
          <w:p w14:paraId="6E01B6C9">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拒不改正的，处15.5元以上20万元以下的罚款，</w:t>
            </w:r>
            <w:r>
              <w:rPr>
                <w:rFonts w:hint="default" w:ascii="Times New Roman" w:hAnsi="Times New Roman" w:cs="Times New Roman" w:eastAsiaTheme="minorEastAsia"/>
                <w:color w:val="auto"/>
                <w:kern w:val="0"/>
                <w:sz w:val="18"/>
                <w:szCs w:val="18"/>
                <w:highlight w:val="none"/>
              </w:rPr>
              <w:t>并可以报经有批准权的人民政府批准，责令停业</w:t>
            </w:r>
          </w:p>
        </w:tc>
        <w:tc>
          <w:tcPr>
            <w:tcW w:w="200" w:type="pct"/>
            <w:gridSpan w:val="2"/>
            <w:vMerge w:val="continue"/>
            <w:shd w:val="clear" w:color="auto" w:fill="auto"/>
            <w:tcMar>
              <w:top w:w="15" w:type="dxa"/>
              <w:left w:w="15" w:type="dxa"/>
              <w:right w:w="15" w:type="dxa"/>
            </w:tcMar>
            <w:vAlign w:val="center"/>
          </w:tcPr>
          <w:p w14:paraId="7EE12666">
            <w:pPr>
              <w:shd w:val="clear"/>
              <w:jc w:val="left"/>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16AF0436">
            <w:pPr>
              <w:shd w:val="clear"/>
              <w:jc w:val="left"/>
              <w:rPr>
                <w:rFonts w:hint="default" w:ascii="Times New Roman" w:hAnsi="Times New Roman" w:cs="Times New Roman" w:eastAsiaTheme="minorEastAsia"/>
                <w:color w:val="auto"/>
                <w:kern w:val="0"/>
                <w:sz w:val="18"/>
                <w:szCs w:val="18"/>
                <w:highlight w:val="none"/>
              </w:rPr>
            </w:pPr>
          </w:p>
        </w:tc>
      </w:tr>
      <w:tr w14:paraId="370EA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117" w:type="pct"/>
            <w:gridSpan w:val="2"/>
            <w:vMerge w:val="restart"/>
            <w:shd w:val="clear" w:color="auto" w:fill="auto"/>
            <w:tcMar>
              <w:top w:w="15" w:type="dxa"/>
              <w:left w:w="15" w:type="dxa"/>
              <w:right w:w="15" w:type="dxa"/>
            </w:tcMar>
            <w:vAlign w:val="center"/>
          </w:tcPr>
          <w:p w14:paraId="08810995">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89</w:t>
            </w:r>
          </w:p>
        </w:tc>
        <w:tc>
          <w:tcPr>
            <w:tcW w:w="411" w:type="pct"/>
            <w:gridSpan w:val="2"/>
            <w:vMerge w:val="restart"/>
            <w:shd w:val="clear" w:color="auto" w:fill="auto"/>
            <w:tcMar>
              <w:top w:w="15" w:type="dxa"/>
              <w:left w:w="15" w:type="dxa"/>
              <w:right w:w="15" w:type="dxa"/>
            </w:tcMar>
            <w:vAlign w:val="center"/>
          </w:tcPr>
          <w:p w14:paraId="0F3EE4F6">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未对商业经营活动中产生的其他噪声采取有效措施造成噪声污染的</w:t>
            </w:r>
          </w:p>
        </w:tc>
        <w:tc>
          <w:tcPr>
            <w:tcW w:w="1310" w:type="pct"/>
            <w:gridSpan w:val="2"/>
            <w:vMerge w:val="restart"/>
            <w:shd w:val="clear" w:color="auto" w:fill="auto"/>
            <w:tcMar>
              <w:top w:w="15" w:type="dxa"/>
              <w:left w:w="15" w:type="dxa"/>
              <w:right w:w="15" w:type="dxa"/>
            </w:tcMar>
            <w:vAlign w:val="center"/>
          </w:tcPr>
          <w:p w14:paraId="107F7F77">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《中华人民共和国噪声污染防治法》第六十三条</w:t>
            </w:r>
            <w:r>
              <w:rPr>
                <w:rFonts w:hint="default" w:ascii="Times New Roman" w:hAnsi="Times New Roman" w:cs="Times New Roman" w:eastAsiaTheme="minorEastAsia"/>
                <w:color w:val="auto"/>
                <w:kern w:val="0"/>
                <w:sz w:val="18"/>
                <w:szCs w:val="18"/>
                <w:highlight w:val="none"/>
                <w:lang w:val="en-US" w:eastAsia="zh-CN"/>
              </w:rPr>
              <w:t>第二款：“</w:t>
            </w:r>
            <w:r>
              <w:rPr>
                <w:rFonts w:hint="default" w:ascii="Times New Roman" w:hAnsi="Times New Roman" w:cs="Times New Roman" w:eastAsiaTheme="minorEastAsia"/>
                <w:color w:val="auto"/>
                <w:kern w:val="0"/>
                <w:sz w:val="18"/>
                <w:szCs w:val="18"/>
                <w:highlight w:val="none"/>
              </w:rPr>
              <w:t>对商业经营活动中产生的其他噪声，经营者应当采取有效措施，防止噪声污染。</w:t>
            </w:r>
            <w:r>
              <w:rPr>
                <w:rFonts w:hint="default" w:ascii="Times New Roman" w:hAnsi="Times New Roman" w:cs="Times New Roman" w:eastAsiaTheme="minorEastAsia"/>
                <w:color w:val="auto"/>
                <w:kern w:val="0"/>
                <w:sz w:val="18"/>
                <w:szCs w:val="18"/>
                <w:highlight w:val="none"/>
                <w:lang w:eastAsia="zh-CN"/>
              </w:rPr>
              <w:t>”</w:t>
            </w:r>
          </w:p>
        </w:tc>
        <w:tc>
          <w:tcPr>
            <w:tcW w:w="1314" w:type="pct"/>
            <w:gridSpan w:val="2"/>
            <w:vMerge w:val="restart"/>
            <w:shd w:val="clear" w:color="auto" w:fill="auto"/>
            <w:tcMar>
              <w:top w:w="15" w:type="dxa"/>
              <w:left w:w="15" w:type="dxa"/>
              <w:right w:w="15" w:type="dxa"/>
            </w:tcMar>
            <w:vAlign w:val="center"/>
          </w:tcPr>
          <w:p w14:paraId="1848BB32">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《中华人民共和国噪声污染防治法》第八十一条</w:t>
            </w:r>
            <w:r>
              <w:rPr>
                <w:rFonts w:hint="default" w:ascii="Times New Roman" w:hAnsi="Times New Roman" w:cs="Times New Roman" w:eastAsiaTheme="minorEastAsia"/>
                <w:color w:val="auto"/>
                <w:kern w:val="0"/>
                <w:sz w:val="18"/>
                <w:szCs w:val="18"/>
                <w:highlight w:val="none"/>
                <w:lang w:val="en-US" w:eastAsia="zh-CN"/>
              </w:rPr>
              <w:t>第三项：“</w:t>
            </w:r>
            <w:r>
              <w:rPr>
                <w:rFonts w:hint="default" w:ascii="Times New Roman" w:hAnsi="Times New Roman" w:cs="Times New Roman" w:eastAsiaTheme="minorEastAsia"/>
                <w:color w:val="auto"/>
                <w:kern w:val="0"/>
                <w:sz w:val="18"/>
                <w:szCs w:val="18"/>
                <w:highlight w:val="none"/>
              </w:rPr>
              <w:t>违反本法规定，有下列行为之一，由地方人民政府指定的部门责令改正，处五千元以上五万元以下的罚款；拒不改正的，处五万元以上二十万元以下的罚款，并可以报经有批准权的人民政府批准，责令停业：（三）未对商业经营活动中产生的其他噪声采取有效措施造成噪声污染的。</w:t>
            </w:r>
            <w:r>
              <w:rPr>
                <w:rFonts w:hint="default" w:ascii="Times New Roman" w:hAnsi="Times New Roman" w:cs="Times New Roman" w:eastAsiaTheme="minorEastAsia"/>
                <w:color w:val="auto"/>
                <w:kern w:val="0"/>
                <w:sz w:val="18"/>
                <w:szCs w:val="18"/>
                <w:highlight w:val="none"/>
                <w:lang w:eastAsia="zh-CN"/>
              </w:rPr>
              <w:t>”</w:t>
            </w:r>
          </w:p>
        </w:tc>
        <w:tc>
          <w:tcPr>
            <w:tcW w:w="177" w:type="pct"/>
            <w:gridSpan w:val="2"/>
            <w:shd w:val="clear" w:color="auto" w:fill="auto"/>
            <w:tcMar>
              <w:top w:w="15" w:type="dxa"/>
              <w:left w:w="15" w:type="dxa"/>
              <w:right w:w="15" w:type="dxa"/>
            </w:tcMar>
            <w:vAlign w:val="center"/>
          </w:tcPr>
          <w:p w14:paraId="301E1BC3">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40382CAD">
            <w:pPr>
              <w:widowControl/>
              <w:shd w:val="clear"/>
              <w:jc w:val="left"/>
              <w:textAlignment w:val="center"/>
              <w:rPr>
                <w:rFonts w:hint="default" w:ascii="Times New Roman" w:hAnsi="Times New Roman" w:cs="Times New Roman" w:eastAsiaTheme="minorEastAsia"/>
                <w:color w:val="auto"/>
                <w:kern w:val="0"/>
                <w:sz w:val="18"/>
                <w:szCs w:val="18"/>
                <w:highlight w:val="none"/>
                <w:lang w:val="en-US"/>
              </w:rPr>
            </w:pPr>
            <w:r>
              <w:rPr>
                <w:rFonts w:hint="default" w:ascii="Times New Roman" w:hAnsi="Times New Roman" w:cs="Times New Roman" w:eastAsiaTheme="minorEastAsia"/>
                <w:color w:val="auto"/>
                <w:kern w:val="0"/>
                <w:sz w:val="18"/>
                <w:szCs w:val="18"/>
                <w:highlight w:val="none"/>
                <w:lang w:eastAsia="zh-CN"/>
              </w:rPr>
              <w:t>初次被查处</w:t>
            </w:r>
          </w:p>
        </w:tc>
        <w:tc>
          <w:tcPr>
            <w:tcW w:w="545" w:type="pct"/>
            <w:gridSpan w:val="2"/>
            <w:shd w:val="clear" w:color="auto" w:fill="auto"/>
            <w:tcMar>
              <w:top w:w="15" w:type="dxa"/>
              <w:left w:w="15" w:type="dxa"/>
              <w:right w:w="15" w:type="dxa"/>
            </w:tcMar>
            <w:vAlign w:val="center"/>
          </w:tcPr>
          <w:p w14:paraId="49861116">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处5000元以上1.85万元以下的罚款；</w:t>
            </w:r>
          </w:p>
          <w:p w14:paraId="022C4549">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拒不改正的，处5万元以上9.5万元以下的罚款，</w:t>
            </w:r>
            <w:r>
              <w:rPr>
                <w:rFonts w:hint="default" w:ascii="Times New Roman" w:hAnsi="Times New Roman" w:cs="Times New Roman" w:eastAsiaTheme="minorEastAsia"/>
                <w:color w:val="auto"/>
                <w:kern w:val="0"/>
                <w:sz w:val="18"/>
                <w:szCs w:val="18"/>
                <w:highlight w:val="none"/>
              </w:rPr>
              <w:t>并可以报经有批准权的人民政府批准，责令停业</w:t>
            </w:r>
          </w:p>
        </w:tc>
        <w:tc>
          <w:tcPr>
            <w:tcW w:w="200" w:type="pct"/>
            <w:gridSpan w:val="2"/>
            <w:vMerge w:val="restart"/>
            <w:shd w:val="clear" w:color="auto" w:fill="auto"/>
            <w:tcMar>
              <w:top w:w="15" w:type="dxa"/>
              <w:left w:w="15" w:type="dxa"/>
              <w:right w:w="15" w:type="dxa"/>
            </w:tcMar>
            <w:vAlign w:val="center"/>
          </w:tcPr>
          <w:p w14:paraId="3E99E7CD">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责令改正</w:t>
            </w:r>
          </w:p>
        </w:tc>
        <w:tc>
          <w:tcPr>
            <w:tcW w:w="390" w:type="pct"/>
            <w:gridSpan w:val="3"/>
            <w:vMerge w:val="restart"/>
            <w:shd w:val="clear" w:color="auto" w:fill="auto"/>
            <w:tcMar>
              <w:top w:w="15" w:type="dxa"/>
              <w:left w:w="15" w:type="dxa"/>
              <w:right w:w="15" w:type="dxa"/>
            </w:tcMar>
            <w:vAlign w:val="center"/>
          </w:tcPr>
          <w:p w14:paraId="24873151">
            <w:pPr>
              <w:shd w:val="clear"/>
              <w:jc w:val="left"/>
              <w:rPr>
                <w:rFonts w:hint="default" w:ascii="Times New Roman" w:hAnsi="Times New Roman" w:cs="Times New Roman" w:eastAsiaTheme="minorEastAsia"/>
                <w:color w:val="auto"/>
                <w:sz w:val="18"/>
                <w:szCs w:val="18"/>
                <w:highlight w:val="none"/>
                <w:lang w:val="en-US" w:eastAsia="zh-CN"/>
              </w:rPr>
            </w:pPr>
          </w:p>
        </w:tc>
      </w:tr>
      <w:tr w14:paraId="4D5B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117" w:type="pct"/>
            <w:gridSpan w:val="2"/>
            <w:vMerge w:val="continue"/>
            <w:shd w:val="clear" w:color="auto" w:fill="auto"/>
            <w:tcMar>
              <w:top w:w="15" w:type="dxa"/>
              <w:left w:w="15" w:type="dxa"/>
              <w:right w:w="15" w:type="dxa"/>
            </w:tcMar>
            <w:vAlign w:val="center"/>
          </w:tcPr>
          <w:p w14:paraId="43C23F59">
            <w:pPr>
              <w:shd w:val="clear"/>
              <w:jc w:val="left"/>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556E3393">
            <w:pPr>
              <w:shd w:val="clear"/>
              <w:jc w:val="left"/>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49AC69A6">
            <w:pPr>
              <w:shd w:val="clear"/>
              <w:jc w:val="left"/>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39917FAA">
            <w:pPr>
              <w:shd w:val="clear"/>
              <w:jc w:val="left"/>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02043EBC">
            <w:pPr>
              <w:shd w:val="clear"/>
              <w:jc w:val="left"/>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tcMar>
              <w:top w:w="15" w:type="dxa"/>
              <w:left w:w="15" w:type="dxa"/>
              <w:right w:w="15" w:type="dxa"/>
            </w:tcMar>
            <w:vAlign w:val="center"/>
          </w:tcPr>
          <w:p w14:paraId="3B3B53F0">
            <w:pPr>
              <w:shd w:val="clear"/>
              <w:jc w:val="left"/>
              <w:rPr>
                <w:rFonts w:hint="default" w:ascii="Times New Roman" w:hAnsi="Times New Roman" w:cs="Times New Roman" w:eastAsiaTheme="minorEastAsia"/>
                <w:color w:val="auto"/>
                <w:kern w:val="0"/>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2</w:t>
            </w:r>
            <w:r>
              <w:rPr>
                <w:rFonts w:hint="default" w:ascii="Times New Roman" w:hAnsi="Times New Roman" w:cs="Times New Roman" w:eastAsiaTheme="minorEastAsia"/>
                <w:color w:val="auto"/>
                <w:kern w:val="0"/>
                <w:sz w:val="18"/>
                <w:szCs w:val="18"/>
                <w:highlight w:val="none"/>
                <w:lang w:eastAsia="zh-CN"/>
              </w:rPr>
              <w:t>次被查处</w:t>
            </w:r>
          </w:p>
        </w:tc>
        <w:tc>
          <w:tcPr>
            <w:tcW w:w="545" w:type="pct"/>
            <w:gridSpan w:val="2"/>
            <w:shd w:val="clear" w:color="auto" w:fill="auto"/>
            <w:tcMar>
              <w:top w:w="15" w:type="dxa"/>
              <w:left w:w="15" w:type="dxa"/>
              <w:right w:w="15" w:type="dxa"/>
            </w:tcMar>
            <w:vAlign w:val="center"/>
          </w:tcPr>
          <w:p w14:paraId="32D45026">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处1.85万元以上3.65万元以下的罚款；</w:t>
            </w:r>
          </w:p>
          <w:p w14:paraId="56B04FF3">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拒不改正的，处9.5万元以上15.5万元以下的罚款，</w:t>
            </w:r>
            <w:r>
              <w:rPr>
                <w:rFonts w:hint="default" w:ascii="Times New Roman" w:hAnsi="Times New Roman" w:cs="Times New Roman" w:eastAsiaTheme="minorEastAsia"/>
                <w:color w:val="auto"/>
                <w:kern w:val="0"/>
                <w:sz w:val="18"/>
                <w:szCs w:val="18"/>
                <w:highlight w:val="none"/>
              </w:rPr>
              <w:t>并可以报经有批准权的人民政府批准，责令停业</w:t>
            </w:r>
          </w:p>
        </w:tc>
        <w:tc>
          <w:tcPr>
            <w:tcW w:w="200" w:type="pct"/>
            <w:gridSpan w:val="2"/>
            <w:vMerge w:val="continue"/>
            <w:shd w:val="clear" w:color="auto" w:fill="auto"/>
            <w:tcMar>
              <w:top w:w="15" w:type="dxa"/>
              <w:left w:w="15" w:type="dxa"/>
              <w:right w:w="15" w:type="dxa"/>
            </w:tcMar>
            <w:vAlign w:val="center"/>
          </w:tcPr>
          <w:p w14:paraId="4B37C8D0">
            <w:pPr>
              <w:shd w:val="clear"/>
              <w:jc w:val="left"/>
              <w:rPr>
                <w:rFonts w:hint="default" w:ascii="Times New Roman" w:hAnsi="Times New Roman" w:cs="Times New Roman" w:eastAsiaTheme="minorEastAsia"/>
                <w:color w:val="auto"/>
                <w:kern w:val="0"/>
                <w:sz w:val="18"/>
                <w:szCs w:val="18"/>
                <w:highlight w:val="none"/>
                <w:lang w:eastAsia="zh-CN"/>
              </w:rPr>
            </w:pPr>
          </w:p>
        </w:tc>
        <w:tc>
          <w:tcPr>
            <w:tcW w:w="390" w:type="pct"/>
            <w:gridSpan w:val="3"/>
            <w:vMerge w:val="continue"/>
            <w:shd w:val="clear" w:color="auto" w:fill="auto"/>
            <w:tcMar>
              <w:top w:w="15" w:type="dxa"/>
              <w:left w:w="15" w:type="dxa"/>
              <w:right w:w="15" w:type="dxa"/>
            </w:tcMar>
            <w:vAlign w:val="center"/>
          </w:tcPr>
          <w:p w14:paraId="16F9E487">
            <w:pPr>
              <w:shd w:val="clear"/>
              <w:jc w:val="left"/>
              <w:rPr>
                <w:rFonts w:hint="default" w:ascii="Times New Roman" w:hAnsi="Times New Roman" w:cs="Times New Roman" w:eastAsiaTheme="minorEastAsia"/>
                <w:color w:val="auto"/>
                <w:kern w:val="0"/>
                <w:sz w:val="18"/>
                <w:szCs w:val="18"/>
                <w:highlight w:val="none"/>
              </w:rPr>
            </w:pPr>
          </w:p>
        </w:tc>
      </w:tr>
      <w:tr w14:paraId="5EC7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117" w:type="pct"/>
            <w:gridSpan w:val="2"/>
            <w:vMerge w:val="continue"/>
            <w:shd w:val="clear" w:color="auto" w:fill="auto"/>
            <w:tcMar>
              <w:top w:w="15" w:type="dxa"/>
              <w:left w:w="15" w:type="dxa"/>
              <w:right w:w="15" w:type="dxa"/>
            </w:tcMar>
            <w:vAlign w:val="center"/>
          </w:tcPr>
          <w:p w14:paraId="119C3743">
            <w:pPr>
              <w:shd w:val="clear"/>
              <w:jc w:val="left"/>
              <w:rPr>
                <w:rFonts w:hint="default" w:ascii="Times New Roman" w:hAnsi="Times New Roman" w:cs="Times New Roman" w:eastAsiaTheme="minorEastAsia"/>
                <w:color w:val="auto"/>
                <w:kern w:val="0"/>
                <w:sz w:val="18"/>
                <w:szCs w:val="18"/>
                <w:highlight w:val="none"/>
              </w:rPr>
            </w:pPr>
          </w:p>
        </w:tc>
        <w:tc>
          <w:tcPr>
            <w:tcW w:w="411" w:type="pct"/>
            <w:gridSpan w:val="2"/>
            <w:vMerge w:val="continue"/>
            <w:shd w:val="clear" w:color="auto" w:fill="auto"/>
            <w:tcMar>
              <w:top w:w="15" w:type="dxa"/>
              <w:left w:w="15" w:type="dxa"/>
              <w:right w:w="15" w:type="dxa"/>
            </w:tcMar>
            <w:vAlign w:val="center"/>
          </w:tcPr>
          <w:p w14:paraId="4CF13ABE">
            <w:pPr>
              <w:shd w:val="clear"/>
              <w:jc w:val="left"/>
              <w:rPr>
                <w:rFonts w:hint="default" w:ascii="Times New Roman" w:hAnsi="Times New Roman" w:cs="Times New Roman" w:eastAsiaTheme="minorEastAsia"/>
                <w:color w:val="auto"/>
                <w:kern w:val="0"/>
                <w:sz w:val="18"/>
                <w:szCs w:val="18"/>
                <w:highlight w:val="none"/>
              </w:rPr>
            </w:pPr>
          </w:p>
        </w:tc>
        <w:tc>
          <w:tcPr>
            <w:tcW w:w="1310" w:type="pct"/>
            <w:gridSpan w:val="2"/>
            <w:vMerge w:val="continue"/>
            <w:shd w:val="clear" w:color="auto" w:fill="auto"/>
            <w:tcMar>
              <w:top w:w="15" w:type="dxa"/>
              <w:left w:w="15" w:type="dxa"/>
              <w:right w:w="15" w:type="dxa"/>
            </w:tcMar>
            <w:vAlign w:val="center"/>
          </w:tcPr>
          <w:p w14:paraId="6E6D35AA">
            <w:pPr>
              <w:shd w:val="clear"/>
              <w:jc w:val="left"/>
              <w:rPr>
                <w:rFonts w:hint="default" w:ascii="Times New Roman" w:hAnsi="Times New Roman" w:cs="Times New Roman" w:eastAsiaTheme="minorEastAsia"/>
                <w:color w:val="auto"/>
                <w:kern w:val="0"/>
                <w:sz w:val="18"/>
                <w:szCs w:val="18"/>
                <w:highlight w:val="none"/>
              </w:rPr>
            </w:pPr>
          </w:p>
        </w:tc>
        <w:tc>
          <w:tcPr>
            <w:tcW w:w="1314" w:type="pct"/>
            <w:gridSpan w:val="2"/>
            <w:vMerge w:val="continue"/>
            <w:shd w:val="clear" w:color="auto" w:fill="auto"/>
            <w:tcMar>
              <w:top w:w="15" w:type="dxa"/>
              <w:left w:w="15" w:type="dxa"/>
              <w:right w:w="15" w:type="dxa"/>
            </w:tcMar>
            <w:vAlign w:val="center"/>
          </w:tcPr>
          <w:p w14:paraId="2FA87A7B">
            <w:pPr>
              <w:shd w:val="clear"/>
              <w:jc w:val="left"/>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66FB96C2">
            <w:pPr>
              <w:shd w:val="clear"/>
              <w:jc w:val="left"/>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5464C5BB">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被查处次数</w:t>
            </w:r>
            <w:r>
              <w:rPr>
                <w:rFonts w:hint="default" w:ascii="Times New Roman" w:hAnsi="Times New Roman" w:cs="Times New Roman" w:eastAsiaTheme="minorEastAsia"/>
                <w:color w:val="auto"/>
                <w:kern w:val="0"/>
                <w:sz w:val="18"/>
                <w:szCs w:val="18"/>
                <w:highlight w:val="none"/>
                <w:lang w:val="en-US" w:eastAsia="zh-CN"/>
              </w:rPr>
              <w:t>3次以上</w:t>
            </w:r>
            <w:r>
              <w:rPr>
                <w:rFonts w:hint="default" w:ascii="Times New Roman" w:hAnsi="Times New Roman" w:cs="Times New Roman" w:eastAsiaTheme="minorEastAsia"/>
                <w:color w:val="auto"/>
                <w:kern w:val="0"/>
                <w:sz w:val="18"/>
                <w:szCs w:val="18"/>
                <w:highlight w:val="none"/>
                <w:lang w:eastAsia="zh-CN"/>
              </w:rPr>
              <w:t>；</w:t>
            </w:r>
          </w:p>
          <w:p w14:paraId="71B837E0">
            <w:pPr>
              <w:shd w:val="clear"/>
              <w:jc w:val="left"/>
              <w:rPr>
                <w:rFonts w:hint="default" w:ascii="Times New Roman" w:hAnsi="Times New Roman" w:cs="Times New Roman" w:eastAsiaTheme="minorEastAsia"/>
                <w:color w:val="auto"/>
                <w:kern w:val="0"/>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在举行中等学校招生考试、高等学校招生统一考试等特殊活动期间违法</w:t>
            </w:r>
          </w:p>
        </w:tc>
        <w:tc>
          <w:tcPr>
            <w:tcW w:w="545" w:type="pct"/>
            <w:gridSpan w:val="2"/>
            <w:shd w:val="clear" w:color="auto" w:fill="auto"/>
            <w:tcMar>
              <w:top w:w="15" w:type="dxa"/>
              <w:left w:w="15" w:type="dxa"/>
              <w:right w:w="15" w:type="dxa"/>
            </w:tcMar>
            <w:vAlign w:val="center"/>
          </w:tcPr>
          <w:p w14:paraId="0301CDE0">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处3.65万元以上5万元以下的罚款；</w:t>
            </w:r>
          </w:p>
          <w:p w14:paraId="7CBDD4C0">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拒不改正的，处15.5万元以上20万元以下的罚款，</w:t>
            </w:r>
            <w:r>
              <w:rPr>
                <w:rFonts w:hint="default" w:ascii="Times New Roman" w:hAnsi="Times New Roman" w:cs="Times New Roman" w:eastAsiaTheme="minorEastAsia"/>
                <w:color w:val="auto"/>
                <w:kern w:val="0"/>
                <w:sz w:val="18"/>
                <w:szCs w:val="18"/>
                <w:highlight w:val="none"/>
              </w:rPr>
              <w:t>并可以报经有批准权的人民政府批准，责令停业</w:t>
            </w:r>
          </w:p>
        </w:tc>
        <w:tc>
          <w:tcPr>
            <w:tcW w:w="200" w:type="pct"/>
            <w:gridSpan w:val="2"/>
            <w:vMerge w:val="continue"/>
            <w:shd w:val="clear" w:color="auto" w:fill="auto"/>
            <w:tcMar>
              <w:top w:w="15" w:type="dxa"/>
              <w:left w:w="15" w:type="dxa"/>
              <w:right w:w="15" w:type="dxa"/>
            </w:tcMar>
            <w:vAlign w:val="center"/>
          </w:tcPr>
          <w:p w14:paraId="14B6E4F5">
            <w:pPr>
              <w:shd w:val="clear"/>
              <w:jc w:val="left"/>
              <w:rPr>
                <w:rFonts w:hint="default" w:ascii="Times New Roman" w:hAnsi="Times New Roman" w:cs="Times New Roman" w:eastAsiaTheme="minorEastAsia"/>
                <w:color w:val="auto"/>
                <w:kern w:val="0"/>
                <w:sz w:val="18"/>
                <w:szCs w:val="18"/>
                <w:highlight w:val="none"/>
                <w:lang w:eastAsia="zh-CN"/>
              </w:rPr>
            </w:pPr>
          </w:p>
        </w:tc>
        <w:tc>
          <w:tcPr>
            <w:tcW w:w="390" w:type="pct"/>
            <w:gridSpan w:val="3"/>
            <w:vMerge w:val="continue"/>
            <w:shd w:val="clear" w:color="auto" w:fill="auto"/>
            <w:tcMar>
              <w:top w:w="15" w:type="dxa"/>
              <w:left w:w="15" w:type="dxa"/>
              <w:right w:w="15" w:type="dxa"/>
            </w:tcMar>
            <w:vAlign w:val="center"/>
          </w:tcPr>
          <w:p w14:paraId="462751E1">
            <w:pPr>
              <w:shd w:val="clear"/>
              <w:jc w:val="left"/>
              <w:rPr>
                <w:rFonts w:hint="default" w:ascii="Times New Roman" w:hAnsi="Times New Roman" w:cs="Times New Roman" w:eastAsiaTheme="minorEastAsia"/>
                <w:color w:val="auto"/>
                <w:kern w:val="0"/>
                <w:sz w:val="18"/>
                <w:szCs w:val="18"/>
                <w:highlight w:val="none"/>
              </w:rPr>
            </w:pPr>
          </w:p>
        </w:tc>
      </w:tr>
      <w:tr w14:paraId="72585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117" w:type="pct"/>
            <w:gridSpan w:val="2"/>
            <w:vMerge w:val="restart"/>
            <w:shd w:val="clear" w:color="auto" w:fill="auto"/>
            <w:tcMar>
              <w:top w:w="15" w:type="dxa"/>
              <w:left w:w="15" w:type="dxa"/>
              <w:right w:w="15" w:type="dxa"/>
            </w:tcMar>
            <w:vAlign w:val="center"/>
          </w:tcPr>
          <w:p w14:paraId="095CC2F8">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90</w:t>
            </w:r>
          </w:p>
        </w:tc>
        <w:tc>
          <w:tcPr>
            <w:tcW w:w="411" w:type="pct"/>
            <w:gridSpan w:val="2"/>
            <w:vMerge w:val="restart"/>
            <w:shd w:val="clear" w:color="auto" w:fill="auto"/>
            <w:tcMar>
              <w:top w:w="15" w:type="dxa"/>
              <w:left w:w="15" w:type="dxa"/>
              <w:right w:w="15" w:type="dxa"/>
            </w:tcMar>
            <w:vAlign w:val="center"/>
          </w:tcPr>
          <w:p w14:paraId="373A369C">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在噪声敏感建筑物集中区域使用高音广播喇叭，拒不改正的</w:t>
            </w:r>
          </w:p>
        </w:tc>
        <w:tc>
          <w:tcPr>
            <w:tcW w:w="1310" w:type="pct"/>
            <w:gridSpan w:val="2"/>
            <w:vMerge w:val="restart"/>
            <w:shd w:val="clear" w:color="auto" w:fill="auto"/>
            <w:tcMar>
              <w:top w:w="15" w:type="dxa"/>
              <w:left w:w="15" w:type="dxa"/>
              <w:right w:w="15" w:type="dxa"/>
            </w:tcMar>
            <w:vAlign w:val="center"/>
          </w:tcPr>
          <w:p w14:paraId="5F71D085">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《中华人民共和国噪声污染防治法》第六十四条</w:t>
            </w:r>
            <w:r>
              <w:rPr>
                <w:rFonts w:hint="default" w:ascii="Times New Roman" w:hAnsi="Times New Roman" w:cs="Times New Roman" w:eastAsiaTheme="minorEastAsia"/>
                <w:color w:val="auto"/>
                <w:kern w:val="0"/>
                <w:sz w:val="18"/>
                <w:szCs w:val="18"/>
                <w:highlight w:val="none"/>
                <w:lang w:val="en-US" w:eastAsia="zh-CN"/>
              </w:rPr>
              <w:t>第一款：“</w:t>
            </w:r>
            <w:r>
              <w:rPr>
                <w:rFonts w:hint="default" w:ascii="Times New Roman" w:hAnsi="Times New Roman" w:cs="Times New Roman" w:eastAsiaTheme="minorEastAsia"/>
                <w:color w:val="auto"/>
                <w:kern w:val="0"/>
                <w:sz w:val="18"/>
                <w:szCs w:val="18"/>
                <w:highlight w:val="none"/>
              </w:rPr>
              <w:t>禁止在噪声敏感建筑物集中区域使用高音广播喇叭，但紧急情况以及地方人民政府规定的特殊情形除外。</w:t>
            </w:r>
            <w:r>
              <w:rPr>
                <w:rFonts w:hint="default" w:ascii="Times New Roman" w:hAnsi="Times New Roman" w:cs="Times New Roman" w:eastAsiaTheme="minorEastAsia"/>
                <w:color w:val="auto"/>
                <w:kern w:val="0"/>
                <w:sz w:val="18"/>
                <w:szCs w:val="18"/>
                <w:highlight w:val="none"/>
                <w:lang w:eastAsia="zh-CN"/>
              </w:rPr>
              <w:t>”</w:t>
            </w:r>
          </w:p>
        </w:tc>
        <w:tc>
          <w:tcPr>
            <w:tcW w:w="1314" w:type="pct"/>
            <w:gridSpan w:val="2"/>
            <w:vMerge w:val="restart"/>
            <w:shd w:val="clear" w:color="auto" w:fill="auto"/>
            <w:tcMar>
              <w:top w:w="15" w:type="dxa"/>
              <w:left w:w="15" w:type="dxa"/>
              <w:right w:w="15" w:type="dxa"/>
            </w:tcMar>
            <w:vAlign w:val="center"/>
          </w:tcPr>
          <w:p w14:paraId="59F0B766">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《中华人民共和国噪声污染防治法》第八十二条</w:t>
            </w:r>
            <w:r>
              <w:rPr>
                <w:rFonts w:hint="default" w:ascii="Times New Roman" w:hAnsi="Times New Roman" w:cs="Times New Roman" w:eastAsiaTheme="minorEastAsia"/>
                <w:color w:val="auto"/>
                <w:kern w:val="0"/>
                <w:sz w:val="18"/>
                <w:szCs w:val="18"/>
                <w:highlight w:val="none"/>
                <w:lang w:val="en-US" w:eastAsia="zh-CN"/>
              </w:rPr>
              <w:t>第一项：“</w:t>
            </w:r>
            <w:r>
              <w:rPr>
                <w:rFonts w:hint="default" w:ascii="Times New Roman" w:hAnsi="Times New Roman" w:cs="Times New Roman" w:eastAsiaTheme="minorEastAsia"/>
                <w:color w:val="auto"/>
                <w:kern w:val="0"/>
                <w:sz w:val="18"/>
                <w:szCs w:val="18"/>
                <w:highlight w:val="none"/>
              </w:rPr>
              <w:t>违反本法规定，有下列行为之一，由地方人民政府指定的部门说服教育，责令改正；拒不改正的，给予警告，对个人可以处二百元以上一千元以下的罚款，对单位可以处二千元以上二万元以下的罚款：（一）在噪声敏感建筑物集中区域使用高音广播喇叭的；</w:t>
            </w:r>
            <w:r>
              <w:rPr>
                <w:rFonts w:hint="default" w:ascii="Times New Roman" w:hAnsi="Times New Roman" w:cs="Times New Roman" w:eastAsiaTheme="minorEastAsia"/>
                <w:color w:val="auto"/>
                <w:kern w:val="0"/>
                <w:sz w:val="18"/>
                <w:szCs w:val="18"/>
                <w:highlight w:val="none"/>
                <w:lang w:eastAsia="zh-CN"/>
              </w:rPr>
              <w:t>”</w:t>
            </w:r>
          </w:p>
        </w:tc>
        <w:tc>
          <w:tcPr>
            <w:tcW w:w="177" w:type="pct"/>
            <w:gridSpan w:val="2"/>
            <w:shd w:val="clear" w:color="auto" w:fill="auto"/>
            <w:tcMar>
              <w:top w:w="15" w:type="dxa"/>
              <w:left w:w="15" w:type="dxa"/>
              <w:right w:w="15" w:type="dxa"/>
            </w:tcMar>
            <w:vAlign w:val="center"/>
          </w:tcPr>
          <w:p w14:paraId="3D81EB95">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28C698EF">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初次被查处</w:t>
            </w:r>
          </w:p>
        </w:tc>
        <w:tc>
          <w:tcPr>
            <w:tcW w:w="545" w:type="pct"/>
            <w:gridSpan w:val="2"/>
            <w:shd w:val="clear" w:color="auto" w:fill="auto"/>
            <w:tcMar>
              <w:top w:w="15" w:type="dxa"/>
              <w:left w:w="15" w:type="dxa"/>
              <w:right w:w="15" w:type="dxa"/>
            </w:tcMar>
            <w:vAlign w:val="center"/>
          </w:tcPr>
          <w:p w14:paraId="26783009">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给予警告，对个人可处200元以上440元以下罚款，对单位可处2000元以上7400元以下罚款</w:t>
            </w:r>
          </w:p>
        </w:tc>
        <w:tc>
          <w:tcPr>
            <w:tcW w:w="200" w:type="pct"/>
            <w:gridSpan w:val="2"/>
            <w:vMerge w:val="restart"/>
            <w:shd w:val="clear" w:color="auto" w:fill="auto"/>
            <w:tcMar>
              <w:top w:w="15" w:type="dxa"/>
              <w:left w:w="15" w:type="dxa"/>
              <w:right w:w="15" w:type="dxa"/>
            </w:tcMar>
            <w:vAlign w:val="center"/>
          </w:tcPr>
          <w:p w14:paraId="107073F3">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说服教育，责令改正</w:t>
            </w:r>
          </w:p>
        </w:tc>
        <w:tc>
          <w:tcPr>
            <w:tcW w:w="390" w:type="pct"/>
            <w:gridSpan w:val="3"/>
            <w:vMerge w:val="restart"/>
            <w:shd w:val="clear" w:color="auto" w:fill="auto"/>
            <w:tcMar>
              <w:top w:w="15" w:type="dxa"/>
              <w:left w:w="15" w:type="dxa"/>
              <w:right w:w="15" w:type="dxa"/>
            </w:tcMar>
            <w:vAlign w:val="center"/>
          </w:tcPr>
          <w:p w14:paraId="481A1F5E">
            <w:pPr>
              <w:shd w:val="clear"/>
              <w:jc w:val="left"/>
              <w:rPr>
                <w:rFonts w:hint="default" w:ascii="Times New Roman" w:hAnsi="Times New Roman" w:cs="Times New Roman" w:eastAsiaTheme="minorEastAsia"/>
                <w:color w:val="auto"/>
                <w:sz w:val="18"/>
                <w:szCs w:val="18"/>
                <w:highlight w:val="none"/>
                <w:lang w:val="en-US" w:eastAsia="zh-CN"/>
              </w:rPr>
            </w:pPr>
          </w:p>
        </w:tc>
      </w:tr>
      <w:tr w14:paraId="12AB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117" w:type="pct"/>
            <w:gridSpan w:val="2"/>
            <w:vMerge w:val="continue"/>
            <w:shd w:val="clear" w:color="auto" w:fill="auto"/>
            <w:tcMar>
              <w:top w:w="15" w:type="dxa"/>
              <w:left w:w="15" w:type="dxa"/>
              <w:right w:w="15" w:type="dxa"/>
            </w:tcMar>
            <w:vAlign w:val="center"/>
          </w:tcPr>
          <w:p w14:paraId="3BD486DE">
            <w:pPr>
              <w:shd w:val="clear"/>
              <w:jc w:val="left"/>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76211E5A">
            <w:pPr>
              <w:shd w:val="clear"/>
              <w:jc w:val="left"/>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52E9F87F">
            <w:pPr>
              <w:shd w:val="clear"/>
              <w:jc w:val="left"/>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6BABD59B">
            <w:pPr>
              <w:shd w:val="clear"/>
              <w:jc w:val="left"/>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1B31B5F9">
            <w:pPr>
              <w:shd w:val="clear"/>
              <w:jc w:val="left"/>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tcMar>
              <w:top w:w="15" w:type="dxa"/>
              <w:left w:w="15" w:type="dxa"/>
              <w:right w:w="15" w:type="dxa"/>
            </w:tcMar>
            <w:vAlign w:val="center"/>
          </w:tcPr>
          <w:p w14:paraId="5D77FC26">
            <w:pPr>
              <w:shd w:val="clear"/>
              <w:jc w:val="left"/>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val="en-US" w:eastAsia="zh-CN"/>
              </w:rPr>
              <w:t>2</w:t>
            </w:r>
            <w:r>
              <w:rPr>
                <w:rFonts w:hint="default" w:ascii="Times New Roman" w:hAnsi="Times New Roman" w:cs="Times New Roman" w:eastAsiaTheme="minorEastAsia"/>
                <w:color w:val="auto"/>
                <w:kern w:val="0"/>
                <w:sz w:val="18"/>
                <w:szCs w:val="18"/>
                <w:highlight w:val="none"/>
                <w:lang w:eastAsia="zh-CN"/>
              </w:rPr>
              <w:t>次被查处</w:t>
            </w:r>
          </w:p>
        </w:tc>
        <w:tc>
          <w:tcPr>
            <w:tcW w:w="545" w:type="pct"/>
            <w:gridSpan w:val="2"/>
            <w:shd w:val="clear" w:color="auto" w:fill="auto"/>
            <w:tcMar>
              <w:top w:w="15" w:type="dxa"/>
              <w:left w:w="15" w:type="dxa"/>
              <w:right w:w="15" w:type="dxa"/>
            </w:tcMar>
            <w:vAlign w:val="center"/>
          </w:tcPr>
          <w:p w14:paraId="42F989E5">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给予警告，对个人可处440元以上760元以下罚款，对单位可处7400元以上1.46万元以下罚款</w:t>
            </w:r>
          </w:p>
        </w:tc>
        <w:tc>
          <w:tcPr>
            <w:tcW w:w="200" w:type="pct"/>
            <w:gridSpan w:val="2"/>
            <w:vMerge w:val="continue"/>
            <w:shd w:val="clear" w:color="auto" w:fill="auto"/>
            <w:tcMar>
              <w:top w:w="15" w:type="dxa"/>
              <w:left w:w="15" w:type="dxa"/>
              <w:right w:w="15" w:type="dxa"/>
            </w:tcMar>
            <w:vAlign w:val="center"/>
          </w:tcPr>
          <w:p w14:paraId="63272680">
            <w:pPr>
              <w:shd w:val="clear"/>
              <w:jc w:val="left"/>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75B433B3">
            <w:pPr>
              <w:shd w:val="clear"/>
              <w:jc w:val="left"/>
              <w:rPr>
                <w:rFonts w:hint="default" w:ascii="Times New Roman" w:hAnsi="Times New Roman" w:cs="Times New Roman" w:eastAsiaTheme="minorEastAsia"/>
                <w:color w:val="auto"/>
                <w:kern w:val="0"/>
                <w:sz w:val="18"/>
                <w:szCs w:val="18"/>
                <w:highlight w:val="none"/>
              </w:rPr>
            </w:pPr>
          </w:p>
        </w:tc>
      </w:tr>
      <w:tr w14:paraId="46A2D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117" w:type="pct"/>
            <w:gridSpan w:val="2"/>
            <w:vMerge w:val="continue"/>
            <w:shd w:val="clear" w:color="auto" w:fill="auto"/>
            <w:tcMar>
              <w:top w:w="15" w:type="dxa"/>
              <w:left w:w="15" w:type="dxa"/>
              <w:right w:w="15" w:type="dxa"/>
            </w:tcMar>
            <w:vAlign w:val="center"/>
          </w:tcPr>
          <w:p w14:paraId="2C79A7BA">
            <w:pPr>
              <w:shd w:val="clear"/>
              <w:jc w:val="left"/>
              <w:rPr>
                <w:rFonts w:hint="default" w:ascii="Times New Roman" w:hAnsi="Times New Roman" w:cs="Times New Roman" w:eastAsiaTheme="minorEastAsia"/>
                <w:color w:val="auto"/>
                <w:kern w:val="0"/>
                <w:sz w:val="18"/>
                <w:szCs w:val="18"/>
                <w:highlight w:val="none"/>
              </w:rPr>
            </w:pPr>
          </w:p>
        </w:tc>
        <w:tc>
          <w:tcPr>
            <w:tcW w:w="411" w:type="pct"/>
            <w:gridSpan w:val="2"/>
            <w:vMerge w:val="continue"/>
            <w:shd w:val="clear" w:color="auto" w:fill="auto"/>
            <w:tcMar>
              <w:top w:w="15" w:type="dxa"/>
              <w:left w:w="15" w:type="dxa"/>
              <w:right w:w="15" w:type="dxa"/>
            </w:tcMar>
            <w:vAlign w:val="center"/>
          </w:tcPr>
          <w:p w14:paraId="4F5745BF">
            <w:pPr>
              <w:shd w:val="clear"/>
              <w:jc w:val="left"/>
              <w:rPr>
                <w:rFonts w:hint="default" w:ascii="Times New Roman" w:hAnsi="Times New Roman" w:cs="Times New Roman" w:eastAsiaTheme="minorEastAsia"/>
                <w:color w:val="auto"/>
                <w:kern w:val="0"/>
                <w:sz w:val="18"/>
                <w:szCs w:val="18"/>
                <w:highlight w:val="none"/>
              </w:rPr>
            </w:pPr>
          </w:p>
        </w:tc>
        <w:tc>
          <w:tcPr>
            <w:tcW w:w="1310" w:type="pct"/>
            <w:gridSpan w:val="2"/>
            <w:vMerge w:val="continue"/>
            <w:shd w:val="clear" w:color="auto" w:fill="auto"/>
            <w:tcMar>
              <w:top w:w="15" w:type="dxa"/>
              <w:left w:w="15" w:type="dxa"/>
              <w:right w:w="15" w:type="dxa"/>
            </w:tcMar>
            <w:vAlign w:val="center"/>
          </w:tcPr>
          <w:p w14:paraId="7C692DA2">
            <w:pPr>
              <w:shd w:val="clear"/>
              <w:jc w:val="left"/>
              <w:rPr>
                <w:rFonts w:hint="default" w:ascii="Times New Roman" w:hAnsi="Times New Roman" w:cs="Times New Roman" w:eastAsiaTheme="minorEastAsia"/>
                <w:color w:val="auto"/>
                <w:kern w:val="0"/>
                <w:sz w:val="18"/>
                <w:szCs w:val="18"/>
                <w:highlight w:val="none"/>
              </w:rPr>
            </w:pPr>
          </w:p>
        </w:tc>
        <w:tc>
          <w:tcPr>
            <w:tcW w:w="1314" w:type="pct"/>
            <w:gridSpan w:val="2"/>
            <w:vMerge w:val="continue"/>
            <w:shd w:val="clear" w:color="auto" w:fill="auto"/>
            <w:tcMar>
              <w:top w:w="15" w:type="dxa"/>
              <w:left w:w="15" w:type="dxa"/>
              <w:right w:w="15" w:type="dxa"/>
            </w:tcMar>
            <w:vAlign w:val="center"/>
          </w:tcPr>
          <w:p w14:paraId="4DF8A03E">
            <w:pPr>
              <w:shd w:val="clear"/>
              <w:jc w:val="left"/>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69C8FA14">
            <w:pPr>
              <w:shd w:val="clear"/>
              <w:jc w:val="left"/>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47142415">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被查处次数3次以上；</w:t>
            </w:r>
          </w:p>
          <w:p w14:paraId="45E372C8">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在举行中等学校招生考试、高等学校招生统一考试等特殊活动期间违法</w:t>
            </w:r>
          </w:p>
        </w:tc>
        <w:tc>
          <w:tcPr>
            <w:tcW w:w="545" w:type="pct"/>
            <w:gridSpan w:val="2"/>
            <w:shd w:val="clear" w:color="auto" w:fill="auto"/>
            <w:tcMar>
              <w:top w:w="15" w:type="dxa"/>
              <w:left w:w="15" w:type="dxa"/>
              <w:right w:w="15" w:type="dxa"/>
            </w:tcMar>
            <w:vAlign w:val="center"/>
          </w:tcPr>
          <w:p w14:paraId="2A5B4C7B">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给予警告，对个人可处760元以上1000元以下罚款，对单位可处1.46万元以上2万元以下罚款</w:t>
            </w:r>
          </w:p>
        </w:tc>
        <w:tc>
          <w:tcPr>
            <w:tcW w:w="200" w:type="pct"/>
            <w:gridSpan w:val="2"/>
            <w:vMerge w:val="continue"/>
            <w:shd w:val="clear" w:color="auto" w:fill="auto"/>
            <w:tcMar>
              <w:top w:w="15" w:type="dxa"/>
              <w:left w:w="15" w:type="dxa"/>
              <w:right w:w="15" w:type="dxa"/>
            </w:tcMar>
            <w:vAlign w:val="center"/>
          </w:tcPr>
          <w:p w14:paraId="0CEB44F7">
            <w:pPr>
              <w:shd w:val="clear"/>
              <w:jc w:val="left"/>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16F0EE79">
            <w:pPr>
              <w:shd w:val="clear"/>
              <w:jc w:val="left"/>
              <w:rPr>
                <w:rFonts w:hint="default" w:ascii="Times New Roman" w:hAnsi="Times New Roman" w:cs="Times New Roman" w:eastAsiaTheme="minorEastAsia"/>
                <w:color w:val="auto"/>
                <w:kern w:val="0"/>
                <w:sz w:val="18"/>
                <w:szCs w:val="18"/>
                <w:highlight w:val="none"/>
              </w:rPr>
            </w:pPr>
          </w:p>
        </w:tc>
      </w:tr>
      <w:tr w14:paraId="6F34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trPr>
        <w:tc>
          <w:tcPr>
            <w:tcW w:w="117" w:type="pct"/>
            <w:gridSpan w:val="2"/>
            <w:vMerge w:val="restart"/>
            <w:shd w:val="clear" w:color="auto" w:fill="auto"/>
            <w:tcMar>
              <w:top w:w="15" w:type="dxa"/>
              <w:left w:w="15" w:type="dxa"/>
              <w:right w:w="15" w:type="dxa"/>
            </w:tcMar>
            <w:vAlign w:val="center"/>
          </w:tcPr>
          <w:p w14:paraId="2AA6010B">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91</w:t>
            </w:r>
          </w:p>
        </w:tc>
        <w:tc>
          <w:tcPr>
            <w:tcW w:w="411" w:type="pct"/>
            <w:gridSpan w:val="2"/>
            <w:vMerge w:val="restart"/>
            <w:shd w:val="clear" w:color="auto" w:fill="auto"/>
            <w:tcMar>
              <w:top w:w="15" w:type="dxa"/>
              <w:left w:w="15" w:type="dxa"/>
              <w:right w:w="15" w:type="dxa"/>
            </w:tcMar>
            <w:vAlign w:val="center"/>
          </w:tcPr>
          <w:p w14:paraId="06C99AF4">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在公共场所组织或者开展娱乐、健身等活动，未遵守公共场所管理者有关活动区域、时段、音量等规定，未采取有效措施造成噪声污染，或者违反规定使用音响器材产生过大音量</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lang w:val="en-US" w:eastAsia="zh-CN"/>
              </w:rPr>
              <w:t>拒不改正</w:t>
            </w:r>
            <w:r>
              <w:rPr>
                <w:rFonts w:hint="default" w:ascii="Times New Roman" w:hAnsi="Times New Roman" w:cs="Times New Roman" w:eastAsiaTheme="minorEastAsia"/>
                <w:color w:val="auto"/>
                <w:kern w:val="0"/>
                <w:sz w:val="18"/>
                <w:szCs w:val="18"/>
                <w:highlight w:val="none"/>
              </w:rPr>
              <w:t>的</w:t>
            </w:r>
          </w:p>
        </w:tc>
        <w:tc>
          <w:tcPr>
            <w:tcW w:w="1310" w:type="pct"/>
            <w:gridSpan w:val="2"/>
            <w:vMerge w:val="restart"/>
            <w:shd w:val="clear" w:color="auto" w:fill="auto"/>
            <w:tcMar>
              <w:top w:w="15" w:type="dxa"/>
              <w:left w:w="15" w:type="dxa"/>
              <w:right w:w="15" w:type="dxa"/>
            </w:tcMar>
            <w:vAlign w:val="center"/>
          </w:tcPr>
          <w:p w14:paraId="67C333AF">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《中华人民共和国噪声污染防治法》第六十四条第</w:t>
            </w:r>
            <w:r>
              <w:rPr>
                <w:rFonts w:hint="default" w:ascii="Times New Roman" w:hAnsi="Times New Roman" w:cs="Times New Roman" w:eastAsiaTheme="minorEastAsia"/>
                <w:color w:val="auto"/>
                <w:kern w:val="0"/>
                <w:sz w:val="18"/>
                <w:szCs w:val="18"/>
                <w:highlight w:val="none"/>
                <w:lang w:val="en-US" w:eastAsia="zh-CN"/>
              </w:rPr>
              <w:t>二</w:t>
            </w:r>
            <w:r>
              <w:rPr>
                <w:rFonts w:hint="default" w:ascii="Times New Roman" w:hAnsi="Times New Roman" w:cs="Times New Roman" w:eastAsiaTheme="minorEastAsia"/>
                <w:color w:val="auto"/>
                <w:kern w:val="0"/>
                <w:sz w:val="18"/>
                <w:szCs w:val="18"/>
                <w:highlight w:val="none"/>
              </w:rPr>
              <w:t>款：</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在街道、广场、公园等公共场所组织或者开展娱乐、健身等活动，应当遵守公共场所管理者有关活动区域、时段、音量等规定，采取有效措施，防止噪声污染；不得违反规定使用音响器材产生过大音量。</w:t>
            </w:r>
            <w:r>
              <w:rPr>
                <w:rFonts w:hint="default" w:ascii="Times New Roman" w:hAnsi="Times New Roman" w:cs="Times New Roman" w:eastAsiaTheme="minorEastAsia"/>
                <w:color w:val="auto"/>
                <w:kern w:val="0"/>
                <w:sz w:val="18"/>
                <w:szCs w:val="18"/>
                <w:highlight w:val="none"/>
                <w:lang w:eastAsia="zh-CN"/>
              </w:rPr>
              <w:t>”</w:t>
            </w:r>
          </w:p>
        </w:tc>
        <w:tc>
          <w:tcPr>
            <w:tcW w:w="1314" w:type="pct"/>
            <w:gridSpan w:val="2"/>
            <w:vMerge w:val="restart"/>
            <w:shd w:val="clear" w:color="auto" w:fill="auto"/>
            <w:tcMar>
              <w:top w:w="15" w:type="dxa"/>
              <w:left w:w="15" w:type="dxa"/>
              <w:right w:w="15" w:type="dxa"/>
            </w:tcMar>
            <w:vAlign w:val="center"/>
          </w:tcPr>
          <w:p w14:paraId="39C82C15">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《中华人民共和国噪声污染防治法》第八十二条</w:t>
            </w:r>
            <w:r>
              <w:rPr>
                <w:rFonts w:hint="default" w:ascii="Times New Roman" w:hAnsi="Times New Roman" w:cs="Times New Roman" w:eastAsiaTheme="minorEastAsia"/>
                <w:color w:val="auto"/>
                <w:kern w:val="0"/>
                <w:sz w:val="18"/>
                <w:szCs w:val="18"/>
                <w:highlight w:val="none"/>
                <w:lang w:val="en-US" w:eastAsia="zh-CN"/>
              </w:rPr>
              <w:t>第二项：“</w:t>
            </w:r>
            <w:r>
              <w:rPr>
                <w:rFonts w:hint="default" w:ascii="Times New Roman" w:hAnsi="Times New Roman" w:cs="Times New Roman" w:eastAsiaTheme="minorEastAsia"/>
                <w:color w:val="auto"/>
                <w:kern w:val="0"/>
                <w:sz w:val="18"/>
                <w:szCs w:val="18"/>
                <w:highlight w:val="none"/>
              </w:rPr>
              <w:t>违反本法规定，有下列行为之一，由地方人民政府指定的部门说服教育，责令改正；拒不改正的，给予警告，对个人可以处二百元以上一千元以下的罚款，对单位可以处二千元以上二万元以下的罚款</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（二）在公共场所组织或者开展娱乐、健身等活动，未遵守公共场所管理者有关活动区域、时段、音量等规定，未采取有效措施造成噪声污染，或者违反规定使用音响器材产生过大音量的；</w:t>
            </w:r>
            <w:r>
              <w:rPr>
                <w:rFonts w:hint="default" w:ascii="Times New Roman" w:hAnsi="Times New Roman" w:cs="Times New Roman" w:eastAsiaTheme="minorEastAsia"/>
                <w:color w:val="auto"/>
                <w:kern w:val="0"/>
                <w:sz w:val="18"/>
                <w:szCs w:val="18"/>
                <w:highlight w:val="none"/>
                <w:lang w:eastAsia="zh-CN"/>
              </w:rPr>
              <w:t>”</w:t>
            </w:r>
          </w:p>
          <w:p w14:paraId="01759756">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044CEE28">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236279DB">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初次被查处</w:t>
            </w:r>
          </w:p>
        </w:tc>
        <w:tc>
          <w:tcPr>
            <w:tcW w:w="545" w:type="pct"/>
            <w:gridSpan w:val="2"/>
            <w:shd w:val="clear" w:color="auto" w:fill="auto"/>
            <w:tcMar>
              <w:top w:w="15" w:type="dxa"/>
              <w:left w:w="15" w:type="dxa"/>
              <w:right w:w="15" w:type="dxa"/>
            </w:tcMar>
            <w:vAlign w:val="center"/>
          </w:tcPr>
          <w:p w14:paraId="50906E9B">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给予警告，对个人可处200元以上440元以下罚款，对单位可处2000元以上7400元以下罚款</w:t>
            </w:r>
          </w:p>
        </w:tc>
        <w:tc>
          <w:tcPr>
            <w:tcW w:w="200" w:type="pct"/>
            <w:gridSpan w:val="2"/>
            <w:vMerge w:val="restart"/>
            <w:shd w:val="clear" w:color="auto" w:fill="auto"/>
            <w:tcMar>
              <w:top w:w="15" w:type="dxa"/>
              <w:left w:w="15" w:type="dxa"/>
              <w:right w:w="15" w:type="dxa"/>
            </w:tcMar>
            <w:vAlign w:val="center"/>
          </w:tcPr>
          <w:p w14:paraId="6FE3764E">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说服教育，责令改正</w:t>
            </w:r>
          </w:p>
        </w:tc>
        <w:tc>
          <w:tcPr>
            <w:tcW w:w="390" w:type="pct"/>
            <w:gridSpan w:val="3"/>
            <w:vMerge w:val="restart"/>
            <w:shd w:val="clear" w:color="auto" w:fill="auto"/>
            <w:tcMar>
              <w:top w:w="15" w:type="dxa"/>
              <w:left w:w="15" w:type="dxa"/>
              <w:right w:w="15" w:type="dxa"/>
            </w:tcMar>
            <w:vAlign w:val="center"/>
          </w:tcPr>
          <w:p w14:paraId="0402478D">
            <w:pPr>
              <w:shd w:val="clear"/>
              <w:jc w:val="left"/>
              <w:rPr>
                <w:rFonts w:hint="default" w:ascii="Times New Roman" w:hAnsi="Times New Roman" w:cs="Times New Roman" w:eastAsiaTheme="minorEastAsia"/>
                <w:color w:val="auto"/>
                <w:sz w:val="18"/>
                <w:szCs w:val="18"/>
                <w:highlight w:val="none"/>
                <w:lang w:val="en-US" w:eastAsia="zh-CN"/>
              </w:rPr>
            </w:pPr>
          </w:p>
        </w:tc>
      </w:tr>
      <w:tr w14:paraId="0027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trPr>
        <w:tc>
          <w:tcPr>
            <w:tcW w:w="117" w:type="pct"/>
            <w:gridSpan w:val="2"/>
            <w:vMerge w:val="continue"/>
            <w:shd w:val="clear" w:color="auto" w:fill="auto"/>
            <w:tcMar>
              <w:top w:w="15" w:type="dxa"/>
              <w:left w:w="15" w:type="dxa"/>
              <w:right w:w="15" w:type="dxa"/>
            </w:tcMar>
            <w:vAlign w:val="center"/>
          </w:tcPr>
          <w:p w14:paraId="646449DF">
            <w:pPr>
              <w:shd w:val="clear"/>
              <w:jc w:val="left"/>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487077AC">
            <w:pPr>
              <w:shd w:val="clear"/>
              <w:jc w:val="left"/>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42DE4FCD">
            <w:pPr>
              <w:shd w:val="clear"/>
              <w:jc w:val="left"/>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657B263E">
            <w:pPr>
              <w:shd w:val="clear"/>
              <w:jc w:val="left"/>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427697BA">
            <w:pPr>
              <w:shd w:val="clear"/>
              <w:jc w:val="left"/>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tcMar>
              <w:top w:w="15" w:type="dxa"/>
              <w:left w:w="15" w:type="dxa"/>
              <w:right w:w="15" w:type="dxa"/>
            </w:tcMar>
            <w:vAlign w:val="center"/>
          </w:tcPr>
          <w:p w14:paraId="0E071305">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2</w:t>
            </w:r>
            <w:r>
              <w:rPr>
                <w:rFonts w:hint="default" w:ascii="Times New Roman" w:hAnsi="Times New Roman" w:cs="Times New Roman" w:eastAsiaTheme="minorEastAsia"/>
                <w:color w:val="auto"/>
                <w:kern w:val="0"/>
                <w:sz w:val="18"/>
                <w:szCs w:val="18"/>
                <w:highlight w:val="none"/>
                <w:lang w:eastAsia="zh-CN"/>
              </w:rPr>
              <w:t>次被查处</w:t>
            </w:r>
          </w:p>
        </w:tc>
        <w:tc>
          <w:tcPr>
            <w:tcW w:w="545" w:type="pct"/>
            <w:gridSpan w:val="2"/>
            <w:shd w:val="clear" w:color="auto" w:fill="auto"/>
            <w:tcMar>
              <w:top w:w="15" w:type="dxa"/>
              <w:left w:w="15" w:type="dxa"/>
              <w:right w:w="15" w:type="dxa"/>
            </w:tcMar>
            <w:vAlign w:val="center"/>
          </w:tcPr>
          <w:p w14:paraId="3D9AB614">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给予警告，对个人可处440元以上760元以下罚款，对单位可处7400元以上14600元以下罚款</w:t>
            </w:r>
          </w:p>
        </w:tc>
        <w:tc>
          <w:tcPr>
            <w:tcW w:w="200" w:type="pct"/>
            <w:gridSpan w:val="2"/>
            <w:vMerge w:val="continue"/>
            <w:shd w:val="clear" w:color="auto" w:fill="auto"/>
            <w:tcMar>
              <w:top w:w="15" w:type="dxa"/>
              <w:left w:w="15" w:type="dxa"/>
              <w:right w:w="15" w:type="dxa"/>
            </w:tcMar>
            <w:vAlign w:val="center"/>
          </w:tcPr>
          <w:p w14:paraId="7AA783A4">
            <w:pPr>
              <w:shd w:val="clear"/>
              <w:jc w:val="left"/>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55DBC925">
            <w:pPr>
              <w:shd w:val="clear"/>
              <w:jc w:val="left"/>
              <w:rPr>
                <w:rFonts w:hint="default" w:ascii="Times New Roman" w:hAnsi="Times New Roman" w:cs="Times New Roman" w:eastAsiaTheme="minorEastAsia"/>
                <w:color w:val="auto"/>
                <w:kern w:val="0"/>
                <w:sz w:val="18"/>
                <w:szCs w:val="18"/>
                <w:highlight w:val="none"/>
              </w:rPr>
            </w:pPr>
          </w:p>
        </w:tc>
      </w:tr>
      <w:tr w14:paraId="722C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trPr>
        <w:tc>
          <w:tcPr>
            <w:tcW w:w="117" w:type="pct"/>
            <w:gridSpan w:val="2"/>
            <w:vMerge w:val="continue"/>
            <w:shd w:val="clear" w:color="auto" w:fill="auto"/>
            <w:tcMar>
              <w:top w:w="15" w:type="dxa"/>
              <w:left w:w="15" w:type="dxa"/>
              <w:right w:w="15" w:type="dxa"/>
            </w:tcMar>
            <w:vAlign w:val="center"/>
          </w:tcPr>
          <w:p w14:paraId="07225ED1">
            <w:pPr>
              <w:shd w:val="clear"/>
              <w:jc w:val="left"/>
              <w:rPr>
                <w:rFonts w:hint="default" w:ascii="Times New Roman" w:hAnsi="Times New Roman" w:cs="Times New Roman" w:eastAsiaTheme="minorEastAsia"/>
                <w:color w:val="auto"/>
                <w:kern w:val="0"/>
                <w:sz w:val="18"/>
                <w:szCs w:val="18"/>
                <w:highlight w:val="none"/>
              </w:rPr>
            </w:pPr>
          </w:p>
        </w:tc>
        <w:tc>
          <w:tcPr>
            <w:tcW w:w="411" w:type="pct"/>
            <w:gridSpan w:val="2"/>
            <w:vMerge w:val="continue"/>
            <w:shd w:val="clear" w:color="auto" w:fill="auto"/>
            <w:tcMar>
              <w:top w:w="15" w:type="dxa"/>
              <w:left w:w="15" w:type="dxa"/>
              <w:right w:w="15" w:type="dxa"/>
            </w:tcMar>
            <w:vAlign w:val="center"/>
          </w:tcPr>
          <w:p w14:paraId="46B88189">
            <w:pPr>
              <w:shd w:val="clear"/>
              <w:jc w:val="left"/>
              <w:rPr>
                <w:rFonts w:hint="default" w:ascii="Times New Roman" w:hAnsi="Times New Roman" w:cs="Times New Roman" w:eastAsiaTheme="minorEastAsia"/>
                <w:color w:val="auto"/>
                <w:kern w:val="0"/>
                <w:sz w:val="18"/>
                <w:szCs w:val="18"/>
                <w:highlight w:val="none"/>
              </w:rPr>
            </w:pPr>
          </w:p>
        </w:tc>
        <w:tc>
          <w:tcPr>
            <w:tcW w:w="1310" w:type="pct"/>
            <w:gridSpan w:val="2"/>
            <w:vMerge w:val="continue"/>
            <w:shd w:val="clear" w:color="auto" w:fill="auto"/>
            <w:tcMar>
              <w:top w:w="15" w:type="dxa"/>
              <w:left w:w="15" w:type="dxa"/>
              <w:right w:w="15" w:type="dxa"/>
            </w:tcMar>
            <w:vAlign w:val="center"/>
          </w:tcPr>
          <w:p w14:paraId="5B41C769">
            <w:pPr>
              <w:shd w:val="clear"/>
              <w:jc w:val="left"/>
              <w:rPr>
                <w:rFonts w:hint="default" w:ascii="Times New Roman" w:hAnsi="Times New Roman" w:cs="Times New Roman" w:eastAsiaTheme="minorEastAsia"/>
                <w:color w:val="auto"/>
                <w:kern w:val="0"/>
                <w:sz w:val="18"/>
                <w:szCs w:val="18"/>
                <w:highlight w:val="none"/>
              </w:rPr>
            </w:pPr>
          </w:p>
        </w:tc>
        <w:tc>
          <w:tcPr>
            <w:tcW w:w="1314" w:type="pct"/>
            <w:gridSpan w:val="2"/>
            <w:vMerge w:val="continue"/>
            <w:shd w:val="clear" w:color="auto" w:fill="auto"/>
            <w:tcMar>
              <w:top w:w="15" w:type="dxa"/>
              <w:left w:w="15" w:type="dxa"/>
              <w:right w:w="15" w:type="dxa"/>
            </w:tcMar>
            <w:vAlign w:val="center"/>
          </w:tcPr>
          <w:p w14:paraId="0B89FE2B">
            <w:pPr>
              <w:shd w:val="clear"/>
              <w:jc w:val="left"/>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125463B7">
            <w:pPr>
              <w:shd w:val="clear"/>
              <w:jc w:val="left"/>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2BF960EE">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被查处次数3次以上；</w:t>
            </w:r>
          </w:p>
          <w:p w14:paraId="3F851764">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在举行中等学校招生考试、高等学校招生统一考试等特殊活动期间违法</w:t>
            </w:r>
          </w:p>
        </w:tc>
        <w:tc>
          <w:tcPr>
            <w:tcW w:w="545" w:type="pct"/>
            <w:gridSpan w:val="2"/>
            <w:shd w:val="clear" w:color="auto" w:fill="auto"/>
            <w:tcMar>
              <w:top w:w="15" w:type="dxa"/>
              <w:left w:w="15" w:type="dxa"/>
              <w:right w:w="15" w:type="dxa"/>
            </w:tcMar>
            <w:vAlign w:val="center"/>
          </w:tcPr>
          <w:p w14:paraId="4D85A25F">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给予警告，对个人可处760元以上1000元以下罚款，对单位可处1.46万元以上2万元以下罚款</w:t>
            </w:r>
          </w:p>
        </w:tc>
        <w:tc>
          <w:tcPr>
            <w:tcW w:w="200" w:type="pct"/>
            <w:gridSpan w:val="2"/>
            <w:vMerge w:val="continue"/>
            <w:shd w:val="clear" w:color="auto" w:fill="auto"/>
            <w:tcMar>
              <w:top w:w="15" w:type="dxa"/>
              <w:left w:w="15" w:type="dxa"/>
              <w:right w:w="15" w:type="dxa"/>
            </w:tcMar>
            <w:vAlign w:val="center"/>
          </w:tcPr>
          <w:p w14:paraId="57BC5587">
            <w:pPr>
              <w:shd w:val="clear"/>
              <w:jc w:val="left"/>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15AAB2AF">
            <w:pPr>
              <w:shd w:val="clear"/>
              <w:jc w:val="left"/>
              <w:rPr>
                <w:rFonts w:hint="default" w:ascii="Times New Roman" w:hAnsi="Times New Roman" w:cs="Times New Roman" w:eastAsiaTheme="minorEastAsia"/>
                <w:color w:val="auto"/>
                <w:kern w:val="0"/>
                <w:sz w:val="18"/>
                <w:szCs w:val="18"/>
                <w:highlight w:val="none"/>
              </w:rPr>
            </w:pPr>
          </w:p>
        </w:tc>
      </w:tr>
      <w:tr w14:paraId="79CC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trPr>
        <w:tc>
          <w:tcPr>
            <w:tcW w:w="117" w:type="pct"/>
            <w:gridSpan w:val="2"/>
            <w:vMerge w:val="restart"/>
            <w:shd w:val="clear" w:color="auto" w:fill="auto"/>
            <w:tcMar>
              <w:top w:w="15" w:type="dxa"/>
              <w:left w:w="15" w:type="dxa"/>
              <w:right w:w="15" w:type="dxa"/>
            </w:tcMar>
            <w:vAlign w:val="center"/>
          </w:tcPr>
          <w:p w14:paraId="664ADCAF">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92</w:t>
            </w:r>
          </w:p>
        </w:tc>
        <w:tc>
          <w:tcPr>
            <w:tcW w:w="411" w:type="pct"/>
            <w:gridSpan w:val="2"/>
            <w:vMerge w:val="restart"/>
            <w:shd w:val="clear" w:color="auto" w:fill="auto"/>
            <w:tcMar>
              <w:top w:w="15" w:type="dxa"/>
              <w:left w:w="15" w:type="dxa"/>
              <w:right w:w="15" w:type="dxa"/>
            </w:tcMar>
            <w:vAlign w:val="center"/>
          </w:tcPr>
          <w:p w14:paraId="1C8C7C2D">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对已竣工交付使用的建筑物进行室内装修活动，未按照规定在限定的作业时间内进行，或者未采取有效措施造成噪声污染</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lang w:val="en-US" w:eastAsia="zh-CN"/>
              </w:rPr>
              <w:t>拒不改正</w:t>
            </w:r>
            <w:r>
              <w:rPr>
                <w:rFonts w:hint="default" w:ascii="Times New Roman" w:hAnsi="Times New Roman" w:cs="Times New Roman" w:eastAsiaTheme="minorEastAsia"/>
                <w:color w:val="auto"/>
                <w:kern w:val="0"/>
                <w:sz w:val="18"/>
                <w:szCs w:val="18"/>
                <w:highlight w:val="none"/>
              </w:rPr>
              <w:t>的</w:t>
            </w:r>
          </w:p>
        </w:tc>
        <w:tc>
          <w:tcPr>
            <w:tcW w:w="1310" w:type="pct"/>
            <w:gridSpan w:val="2"/>
            <w:vMerge w:val="restart"/>
            <w:shd w:val="clear" w:color="auto" w:fill="auto"/>
            <w:tcMar>
              <w:top w:w="15" w:type="dxa"/>
              <w:left w:w="15" w:type="dxa"/>
              <w:right w:w="15" w:type="dxa"/>
            </w:tcMar>
            <w:vAlign w:val="center"/>
          </w:tcPr>
          <w:p w14:paraId="0CF732DD">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《中华人民共和国噪声污染防治法》第六十六条</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对已竣工交付使用的住宅楼、商铺、办公楼等建筑物进行室内装修活动，应当按照规定限定作业时间，采取有效措施，防止、减轻噪声污染。</w:t>
            </w:r>
            <w:r>
              <w:rPr>
                <w:rFonts w:hint="default" w:ascii="Times New Roman" w:hAnsi="Times New Roman" w:cs="Times New Roman" w:eastAsiaTheme="minorEastAsia"/>
                <w:color w:val="auto"/>
                <w:kern w:val="0"/>
                <w:sz w:val="18"/>
                <w:szCs w:val="18"/>
                <w:highlight w:val="none"/>
                <w:lang w:eastAsia="zh-CN"/>
              </w:rPr>
              <w:t>”</w:t>
            </w:r>
          </w:p>
        </w:tc>
        <w:tc>
          <w:tcPr>
            <w:tcW w:w="1314" w:type="pct"/>
            <w:gridSpan w:val="2"/>
            <w:vMerge w:val="restart"/>
            <w:shd w:val="clear" w:color="auto" w:fill="auto"/>
            <w:tcMar>
              <w:top w:w="15" w:type="dxa"/>
              <w:left w:w="15" w:type="dxa"/>
              <w:right w:w="15" w:type="dxa"/>
            </w:tcMar>
            <w:vAlign w:val="center"/>
          </w:tcPr>
          <w:p w14:paraId="5E882879">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《中华人民共和国噪声污染防治法》第八十二条</w:t>
            </w:r>
            <w:r>
              <w:rPr>
                <w:rFonts w:hint="default" w:ascii="Times New Roman" w:hAnsi="Times New Roman" w:cs="Times New Roman" w:eastAsiaTheme="minorEastAsia"/>
                <w:color w:val="auto"/>
                <w:kern w:val="0"/>
                <w:sz w:val="18"/>
                <w:szCs w:val="18"/>
                <w:highlight w:val="none"/>
                <w:lang w:val="en-US" w:eastAsia="zh-CN"/>
              </w:rPr>
              <w:t>第三项：“</w:t>
            </w:r>
            <w:r>
              <w:rPr>
                <w:rFonts w:hint="default" w:ascii="Times New Roman" w:hAnsi="Times New Roman" w:cs="Times New Roman" w:eastAsiaTheme="minorEastAsia"/>
                <w:color w:val="auto"/>
                <w:kern w:val="0"/>
                <w:sz w:val="18"/>
                <w:szCs w:val="18"/>
                <w:highlight w:val="none"/>
              </w:rPr>
              <w:t>违反本法规定，有下列行为之一，由地方人民政府指定的部门说服教育，责令改正；拒不改正的，给予警告，对个人可以处二百元以上一千元以下的罚款，对单位可以处二千元以上二万元以下的罚款：（三）对已竣工交付使用的建筑物进行室内装修活动，未按照规定在限定的作业时间内进行，或者未采取有效措施造成噪声污染的；</w:t>
            </w:r>
            <w:r>
              <w:rPr>
                <w:rFonts w:hint="default" w:ascii="Times New Roman" w:hAnsi="Times New Roman" w:cs="Times New Roman" w:eastAsiaTheme="minorEastAsia"/>
                <w:color w:val="auto"/>
                <w:kern w:val="0"/>
                <w:sz w:val="18"/>
                <w:szCs w:val="18"/>
                <w:highlight w:val="none"/>
                <w:lang w:eastAsia="zh-CN"/>
              </w:rPr>
              <w:t>”</w:t>
            </w:r>
          </w:p>
          <w:p w14:paraId="64D05FBD">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4DB799B2">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49D2822D">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初次被查处</w:t>
            </w:r>
          </w:p>
        </w:tc>
        <w:tc>
          <w:tcPr>
            <w:tcW w:w="545" w:type="pct"/>
            <w:gridSpan w:val="2"/>
            <w:shd w:val="clear" w:color="auto" w:fill="auto"/>
            <w:tcMar>
              <w:top w:w="15" w:type="dxa"/>
              <w:left w:w="15" w:type="dxa"/>
              <w:right w:w="15" w:type="dxa"/>
            </w:tcMar>
            <w:vAlign w:val="center"/>
          </w:tcPr>
          <w:p w14:paraId="091EDFEB">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给予警告，对个人可处200元以上440元以下罚款，对单位可处2000元以上7400元以下罚款</w:t>
            </w:r>
          </w:p>
        </w:tc>
        <w:tc>
          <w:tcPr>
            <w:tcW w:w="200" w:type="pct"/>
            <w:gridSpan w:val="2"/>
            <w:vMerge w:val="restart"/>
            <w:shd w:val="clear" w:color="auto" w:fill="auto"/>
            <w:tcMar>
              <w:top w:w="15" w:type="dxa"/>
              <w:left w:w="15" w:type="dxa"/>
              <w:right w:w="15" w:type="dxa"/>
            </w:tcMar>
            <w:vAlign w:val="center"/>
          </w:tcPr>
          <w:p w14:paraId="5384756C">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说服教育，责令改正</w:t>
            </w:r>
          </w:p>
        </w:tc>
        <w:tc>
          <w:tcPr>
            <w:tcW w:w="390" w:type="pct"/>
            <w:gridSpan w:val="3"/>
            <w:vMerge w:val="restart"/>
            <w:shd w:val="clear" w:color="auto" w:fill="auto"/>
            <w:tcMar>
              <w:top w:w="15" w:type="dxa"/>
              <w:left w:w="15" w:type="dxa"/>
              <w:right w:w="15" w:type="dxa"/>
            </w:tcMar>
            <w:vAlign w:val="center"/>
          </w:tcPr>
          <w:p w14:paraId="7B0BACA1">
            <w:pPr>
              <w:shd w:val="clear"/>
              <w:jc w:val="left"/>
              <w:rPr>
                <w:rFonts w:hint="default" w:ascii="Times New Roman" w:hAnsi="Times New Roman" w:cs="Times New Roman" w:eastAsiaTheme="minorEastAsia"/>
                <w:color w:val="auto"/>
                <w:sz w:val="18"/>
                <w:szCs w:val="18"/>
                <w:highlight w:val="none"/>
                <w:lang w:val="en-US" w:eastAsia="zh-CN"/>
              </w:rPr>
            </w:pPr>
          </w:p>
        </w:tc>
      </w:tr>
      <w:tr w14:paraId="2182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trPr>
        <w:tc>
          <w:tcPr>
            <w:tcW w:w="117" w:type="pct"/>
            <w:gridSpan w:val="2"/>
            <w:vMerge w:val="continue"/>
            <w:shd w:val="clear" w:color="auto" w:fill="auto"/>
            <w:tcMar>
              <w:top w:w="15" w:type="dxa"/>
              <w:left w:w="15" w:type="dxa"/>
              <w:right w:w="15" w:type="dxa"/>
            </w:tcMar>
            <w:vAlign w:val="center"/>
          </w:tcPr>
          <w:p w14:paraId="1F543C47">
            <w:pPr>
              <w:shd w:val="clear"/>
              <w:jc w:val="left"/>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2F982001">
            <w:pPr>
              <w:shd w:val="clear"/>
              <w:jc w:val="left"/>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7C4656F3">
            <w:pPr>
              <w:shd w:val="clear"/>
              <w:jc w:val="left"/>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73095DCB">
            <w:pPr>
              <w:shd w:val="clear"/>
              <w:jc w:val="left"/>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6B1D1C1C">
            <w:pPr>
              <w:shd w:val="clear"/>
              <w:jc w:val="left"/>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tcMar>
              <w:top w:w="15" w:type="dxa"/>
              <w:left w:w="15" w:type="dxa"/>
              <w:right w:w="15" w:type="dxa"/>
            </w:tcMar>
            <w:vAlign w:val="center"/>
          </w:tcPr>
          <w:p w14:paraId="5E1C8E2D">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2</w:t>
            </w:r>
            <w:r>
              <w:rPr>
                <w:rFonts w:hint="default" w:ascii="Times New Roman" w:hAnsi="Times New Roman" w:cs="Times New Roman" w:eastAsiaTheme="minorEastAsia"/>
                <w:color w:val="auto"/>
                <w:kern w:val="0"/>
                <w:sz w:val="18"/>
                <w:szCs w:val="18"/>
                <w:highlight w:val="none"/>
                <w:lang w:eastAsia="zh-CN"/>
              </w:rPr>
              <w:t>次被查处</w:t>
            </w:r>
          </w:p>
        </w:tc>
        <w:tc>
          <w:tcPr>
            <w:tcW w:w="545" w:type="pct"/>
            <w:gridSpan w:val="2"/>
            <w:shd w:val="clear" w:color="auto" w:fill="auto"/>
            <w:tcMar>
              <w:top w:w="15" w:type="dxa"/>
              <w:left w:w="15" w:type="dxa"/>
              <w:right w:w="15" w:type="dxa"/>
            </w:tcMar>
            <w:vAlign w:val="center"/>
          </w:tcPr>
          <w:p w14:paraId="2076DAA7">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给予警告，对个人可处440元以上760元以下罚款，对单位可处7400元以上1.46万元以下罚款</w:t>
            </w:r>
          </w:p>
        </w:tc>
        <w:tc>
          <w:tcPr>
            <w:tcW w:w="200" w:type="pct"/>
            <w:gridSpan w:val="2"/>
            <w:vMerge w:val="continue"/>
            <w:shd w:val="clear" w:color="auto" w:fill="auto"/>
            <w:tcMar>
              <w:top w:w="15" w:type="dxa"/>
              <w:left w:w="15" w:type="dxa"/>
              <w:right w:w="15" w:type="dxa"/>
            </w:tcMar>
            <w:vAlign w:val="center"/>
          </w:tcPr>
          <w:p w14:paraId="5D9147BD">
            <w:pPr>
              <w:shd w:val="clear"/>
              <w:jc w:val="left"/>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191DF742">
            <w:pPr>
              <w:shd w:val="clear"/>
              <w:jc w:val="left"/>
              <w:rPr>
                <w:rFonts w:hint="default" w:ascii="Times New Roman" w:hAnsi="Times New Roman" w:cs="Times New Roman" w:eastAsiaTheme="minorEastAsia"/>
                <w:color w:val="auto"/>
                <w:kern w:val="0"/>
                <w:sz w:val="18"/>
                <w:szCs w:val="18"/>
                <w:highlight w:val="none"/>
              </w:rPr>
            </w:pPr>
          </w:p>
        </w:tc>
      </w:tr>
      <w:tr w14:paraId="0670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trPr>
        <w:tc>
          <w:tcPr>
            <w:tcW w:w="117" w:type="pct"/>
            <w:gridSpan w:val="2"/>
            <w:vMerge w:val="continue"/>
            <w:shd w:val="clear" w:color="auto" w:fill="auto"/>
            <w:tcMar>
              <w:top w:w="15" w:type="dxa"/>
              <w:left w:w="15" w:type="dxa"/>
              <w:right w:w="15" w:type="dxa"/>
            </w:tcMar>
            <w:vAlign w:val="center"/>
          </w:tcPr>
          <w:p w14:paraId="065A041D">
            <w:pPr>
              <w:shd w:val="clear"/>
              <w:jc w:val="left"/>
              <w:rPr>
                <w:rFonts w:hint="default" w:ascii="Times New Roman" w:hAnsi="Times New Roman" w:cs="Times New Roman" w:eastAsiaTheme="minorEastAsia"/>
                <w:color w:val="auto"/>
                <w:kern w:val="0"/>
                <w:sz w:val="18"/>
                <w:szCs w:val="18"/>
                <w:highlight w:val="none"/>
              </w:rPr>
            </w:pPr>
          </w:p>
        </w:tc>
        <w:tc>
          <w:tcPr>
            <w:tcW w:w="411" w:type="pct"/>
            <w:gridSpan w:val="2"/>
            <w:vMerge w:val="continue"/>
            <w:shd w:val="clear" w:color="auto" w:fill="auto"/>
            <w:tcMar>
              <w:top w:w="15" w:type="dxa"/>
              <w:left w:w="15" w:type="dxa"/>
              <w:right w:w="15" w:type="dxa"/>
            </w:tcMar>
            <w:vAlign w:val="center"/>
          </w:tcPr>
          <w:p w14:paraId="24FAC919">
            <w:pPr>
              <w:shd w:val="clear"/>
              <w:jc w:val="left"/>
              <w:rPr>
                <w:rFonts w:hint="default" w:ascii="Times New Roman" w:hAnsi="Times New Roman" w:cs="Times New Roman" w:eastAsiaTheme="minorEastAsia"/>
                <w:color w:val="auto"/>
                <w:kern w:val="0"/>
                <w:sz w:val="18"/>
                <w:szCs w:val="18"/>
                <w:highlight w:val="none"/>
              </w:rPr>
            </w:pPr>
          </w:p>
        </w:tc>
        <w:tc>
          <w:tcPr>
            <w:tcW w:w="1310" w:type="pct"/>
            <w:gridSpan w:val="2"/>
            <w:vMerge w:val="continue"/>
            <w:shd w:val="clear" w:color="auto" w:fill="auto"/>
            <w:tcMar>
              <w:top w:w="15" w:type="dxa"/>
              <w:left w:w="15" w:type="dxa"/>
              <w:right w:w="15" w:type="dxa"/>
            </w:tcMar>
            <w:vAlign w:val="center"/>
          </w:tcPr>
          <w:p w14:paraId="38F835DD">
            <w:pPr>
              <w:shd w:val="clear"/>
              <w:jc w:val="left"/>
              <w:rPr>
                <w:rFonts w:hint="default" w:ascii="Times New Roman" w:hAnsi="Times New Roman" w:cs="Times New Roman" w:eastAsiaTheme="minorEastAsia"/>
                <w:color w:val="auto"/>
                <w:kern w:val="0"/>
                <w:sz w:val="18"/>
                <w:szCs w:val="18"/>
                <w:highlight w:val="none"/>
              </w:rPr>
            </w:pPr>
          </w:p>
        </w:tc>
        <w:tc>
          <w:tcPr>
            <w:tcW w:w="1314" w:type="pct"/>
            <w:gridSpan w:val="2"/>
            <w:vMerge w:val="continue"/>
            <w:shd w:val="clear" w:color="auto" w:fill="auto"/>
            <w:tcMar>
              <w:top w:w="15" w:type="dxa"/>
              <w:left w:w="15" w:type="dxa"/>
              <w:right w:w="15" w:type="dxa"/>
            </w:tcMar>
            <w:vAlign w:val="center"/>
          </w:tcPr>
          <w:p w14:paraId="1DA473F4">
            <w:pPr>
              <w:shd w:val="clear"/>
              <w:jc w:val="left"/>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1265D404">
            <w:pPr>
              <w:shd w:val="clear"/>
              <w:jc w:val="left"/>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795C688A">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被查处次数3次以上；</w:t>
            </w:r>
          </w:p>
          <w:p w14:paraId="47BDB0D8">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在举行中等学校招生考试、高等学校招生统一考试等特殊活动期间违法</w:t>
            </w:r>
          </w:p>
        </w:tc>
        <w:tc>
          <w:tcPr>
            <w:tcW w:w="545" w:type="pct"/>
            <w:gridSpan w:val="2"/>
            <w:shd w:val="clear" w:color="auto" w:fill="auto"/>
            <w:tcMar>
              <w:top w:w="15" w:type="dxa"/>
              <w:left w:w="15" w:type="dxa"/>
              <w:right w:w="15" w:type="dxa"/>
            </w:tcMar>
            <w:vAlign w:val="center"/>
          </w:tcPr>
          <w:p w14:paraId="0EA2AE09">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给予警告，对个人可处760元以上1000元以下罚款，对单位可处1.46万元以上2万元以下罚款</w:t>
            </w:r>
          </w:p>
        </w:tc>
        <w:tc>
          <w:tcPr>
            <w:tcW w:w="200" w:type="pct"/>
            <w:gridSpan w:val="2"/>
            <w:vMerge w:val="continue"/>
            <w:shd w:val="clear" w:color="auto" w:fill="auto"/>
            <w:tcMar>
              <w:top w:w="15" w:type="dxa"/>
              <w:left w:w="15" w:type="dxa"/>
              <w:right w:w="15" w:type="dxa"/>
            </w:tcMar>
            <w:vAlign w:val="center"/>
          </w:tcPr>
          <w:p w14:paraId="6EAC6861">
            <w:pPr>
              <w:shd w:val="clear"/>
              <w:jc w:val="left"/>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3C28C475">
            <w:pPr>
              <w:shd w:val="clear"/>
              <w:jc w:val="left"/>
              <w:rPr>
                <w:rFonts w:hint="default" w:ascii="Times New Roman" w:hAnsi="Times New Roman" w:cs="Times New Roman" w:eastAsiaTheme="minorEastAsia"/>
                <w:color w:val="auto"/>
                <w:kern w:val="0"/>
                <w:sz w:val="18"/>
                <w:szCs w:val="18"/>
                <w:highlight w:val="none"/>
              </w:rPr>
            </w:pPr>
          </w:p>
        </w:tc>
      </w:tr>
      <w:tr w14:paraId="0B84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trPr>
        <w:tc>
          <w:tcPr>
            <w:tcW w:w="117" w:type="pct"/>
            <w:gridSpan w:val="2"/>
            <w:vMerge w:val="restart"/>
            <w:shd w:val="clear" w:color="auto" w:fill="auto"/>
            <w:tcMar>
              <w:top w:w="15" w:type="dxa"/>
              <w:left w:w="15" w:type="dxa"/>
              <w:right w:w="15" w:type="dxa"/>
            </w:tcMar>
            <w:vAlign w:val="center"/>
          </w:tcPr>
          <w:p w14:paraId="7ADB4D77">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93</w:t>
            </w:r>
          </w:p>
        </w:tc>
        <w:tc>
          <w:tcPr>
            <w:tcW w:w="411" w:type="pct"/>
            <w:gridSpan w:val="2"/>
            <w:vMerge w:val="restart"/>
            <w:shd w:val="clear" w:color="auto" w:fill="auto"/>
            <w:tcMar>
              <w:top w:w="15" w:type="dxa"/>
              <w:left w:w="15" w:type="dxa"/>
              <w:right w:w="15" w:type="dxa"/>
            </w:tcMar>
            <w:vAlign w:val="center"/>
          </w:tcPr>
          <w:p w14:paraId="7B01D023">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其他违反法律规定造成社会生活噪声污染</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lang w:val="en-US" w:eastAsia="zh-CN"/>
              </w:rPr>
              <w:t>拒不改正</w:t>
            </w:r>
            <w:r>
              <w:rPr>
                <w:rFonts w:hint="default" w:ascii="Times New Roman" w:hAnsi="Times New Roman" w:cs="Times New Roman" w:eastAsiaTheme="minorEastAsia"/>
                <w:color w:val="auto"/>
                <w:kern w:val="0"/>
                <w:sz w:val="18"/>
                <w:szCs w:val="18"/>
                <w:highlight w:val="none"/>
              </w:rPr>
              <w:t>的</w:t>
            </w:r>
          </w:p>
        </w:tc>
        <w:tc>
          <w:tcPr>
            <w:tcW w:w="1310" w:type="pct"/>
            <w:gridSpan w:val="2"/>
            <w:vMerge w:val="restart"/>
            <w:shd w:val="clear" w:color="auto" w:fill="auto"/>
            <w:tcMar>
              <w:top w:w="15" w:type="dxa"/>
              <w:left w:w="15" w:type="dxa"/>
              <w:right w:w="15" w:type="dxa"/>
            </w:tcMar>
            <w:vAlign w:val="center"/>
          </w:tcPr>
          <w:p w14:paraId="4834236B">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《中华人民共和国噪声污染防治法》第六十二条</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使用空调器、冷却塔、水泵、油烟净化器、风机、发电机、变压器、锅炉、装卸设备等可能产生社会生活噪声污染的设备、设施的企业事业单位和其他经营管理者等，应当采取优化布局、集中排放等措施，防止、减轻噪声污染。</w:t>
            </w:r>
            <w:r>
              <w:rPr>
                <w:rFonts w:hint="default" w:ascii="Times New Roman" w:hAnsi="Times New Roman" w:cs="Times New Roman" w:eastAsiaTheme="minorEastAsia"/>
                <w:color w:val="auto"/>
                <w:kern w:val="0"/>
                <w:sz w:val="18"/>
                <w:szCs w:val="18"/>
                <w:highlight w:val="none"/>
                <w:lang w:eastAsia="zh-CN"/>
              </w:rPr>
              <w:t>”第六十五条：“家庭及其成员应当培养形成减少噪声产生的良好习惯，乘坐公共交通工具、饲养宠物和其他日常活动尽量避免产生噪声对周围人员造成干扰，互谅互让解决噪声纠纷，共同维护声环境质量。使用家用电器、乐器或者进行其他家庭场所活动，应当控制音量或者采取其他有效措施，防止噪声污染。”</w:t>
            </w:r>
          </w:p>
        </w:tc>
        <w:tc>
          <w:tcPr>
            <w:tcW w:w="1314" w:type="pct"/>
            <w:gridSpan w:val="2"/>
            <w:vMerge w:val="restart"/>
            <w:shd w:val="clear" w:color="auto" w:fill="auto"/>
            <w:tcMar>
              <w:top w:w="15" w:type="dxa"/>
              <w:left w:w="15" w:type="dxa"/>
              <w:right w:w="15" w:type="dxa"/>
            </w:tcMar>
            <w:vAlign w:val="center"/>
          </w:tcPr>
          <w:p w14:paraId="46300FF5">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《中华人民共和国噪声污染防治法》第八十二条</w:t>
            </w:r>
            <w:r>
              <w:rPr>
                <w:rFonts w:hint="default" w:ascii="Times New Roman" w:hAnsi="Times New Roman" w:cs="Times New Roman" w:eastAsiaTheme="minorEastAsia"/>
                <w:color w:val="auto"/>
                <w:kern w:val="0"/>
                <w:sz w:val="18"/>
                <w:szCs w:val="18"/>
                <w:highlight w:val="none"/>
                <w:lang w:val="en-US" w:eastAsia="zh-CN"/>
              </w:rPr>
              <w:t>第四项：“</w:t>
            </w:r>
            <w:r>
              <w:rPr>
                <w:rFonts w:hint="default" w:ascii="Times New Roman" w:hAnsi="Times New Roman" w:cs="Times New Roman" w:eastAsiaTheme="minorEastAsia"/>
                <w:color w:val="auto"/>
                <w:kern w:val="0"/>
                <w:sz w:val="18"/>
                <w:szCs w:val="18"/>
                <w:highlight w:val="none"/>
              </w:rPr>
              <w:t>违反本法规定，有下列行为之一，由地方人民政府指定的部门说服教育，责令改正；拒不改正的，给予警告，对个人可以处二百元以上一千元以下的罚款，对单位可以处二千元以上二万元以下的罚款：（四）其他违反法律规定造成社会生活噪声污染的。</w:t>
            </w:r>
            <w:r>
              <w:rPr>
                <w:rFonts w:hint="default" w:ascii="Times New Roman" w:hAnsi="Times New Roman" w:cs="Times New Roman" w:eastAsiaTheme="minorEastAsia"/>
                <w:color w:val="auto"/>
                <w:kern w:val="0"/>
                <w:sz w:val="18"/>
                <w:szCs w:val="18"/>
                <w:highlight w:val="none"/>
                <w:lang w:eastAsia="zh-CN"/>
              </w:rPr>
              <w:t>”</w:t>
            </w:r>
          </w:p>
        </w:tc>
        <w:tc>
          <w:tcPr>
            <w:tcW w:w="177" w:type="pct"/>
            <w:gridSpan w:val="2"/>
            <w:shd w:val="clear" w:color="auto" w:fill="auto"/>
            <w:tcMar>
              <w:top w:w="15" w:type="dxa"/>
              <w:left w:w="15" w:type="dxa"/>
              <w:right w:w="15" w:type="dxa"/>
            </w:tcMar>
            <w:vAlign w:val="center"/>
          </w:tcPr>
          <w:p w14:paraId="713FACB1">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0F7879C7">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初次被查处</w:t>
            </w:r>
          </w:p>
        </w:tc>
        <w:tc>
          <w:tcPr>
            <w:tcW w:w="545" w:type="pct"/>
            <w:gridSpan w:val="2"/>
            <w:shd w:val="clear" w:color="auto" w:fill="auto"/>
            <w:tcMar>
              <w:top w:w="15" w:type="dxa"/>
              <w:left w:w="15" w:type="dxa"/>
              <w:right w:w="15" w:type="dxa"/>
            </w:tcMar>
            <w:vAlign w:val="center"/>
          </w:tcPr>
          <w:p w14:paraId="681E7972">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给予警告，对个人可处200元以上440元以下罚款，对单位可处2000元以上7400元以下罚款</w:t>
            </w:r>
          </w:p>
        </w:tc>
        <w:tc>
          <w:tcPr>
            <w:tcW w:w="200" w:type="pct"/>
            <w:gridSpan w:val="2"/>
            <w:vMerge w:val="restart"/>
            <w:shd w:val="clear" w:color="auto" w:fill="auto"/>
            <w:tcMar>
              <w:top w:w="15" w:type="dxa"/>
              <w:left w:w="15" w:type="dxa"/>
              <w:right w:w="15" w:type="dxa"/>
            </w:tcMar>
            <w:vAlign w:val="center"/>
          </w:tcPr>
          <w:p w14:paraId="0635CCF5">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说服教育，责令改正</w:t>
            </w:r>
          </w:p>
        </w:tc>
        <w:tc>
          <w:tcPr>
            <w:tcW w:w="390" w:type="pct"/>
            <w:gridSpan w:val="3"/>
            <w:vMerge w:val="restart"/>
            <w:shd w:val="clear" w:color="auto" w:fill="auto"/>
            <w:tcMar>
              <w:top w:w="15" w:type="dxa"/>
              <w:left w:w="15" w:type="dxa"/>
              <w:right w:w="15" w:type="dxa"/>
            </w:tcMar>
            <w:vAlign w:val="center"/>
          </w:tcPr>
          <w:p w14:paraId="67F7B231">
            <w:pPr>
              <w:shd w:val="clear"/>
              <w:jc w:val="left"/>
              <w:rPr>
                <w:rFonts w:hint="default" w:ascii="Times New Roman" w:hAnsi="Times New Roman" w:cs="Times New Roman" w:eastAsiaTheme="minorEastAsia"/>
                <w:color w:val="auto"/>
                <w:sz w:val="18"/>
                <w:szCs w:val="18"/>
                <w:highlight w:val="none"/>
                <w:lang w:val="en-US" w:eastAsia="zh-CN"/>
              </w:rPr>
            </w:pPr>
          </w:p>
        </w:tc>
      </w:tr>
      <w:tr w14:paraId="3164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trPr>
        <w:tc>
          <w:tcPr>
            <w:tcW w:w="117" w:type="pct"/>
            <w:gridSpan w:val="2"/>
            <w:vMerge w:val="continue"/>
            <w:shd w:val="clear" w:color="auto" w:fill="auto"/>
            <w:tcMar>
              <w:top w:w="15" w:type="dxa"/>
              <w:left w:w="15" w:type="dxa"/>
              <w:right w:w="15" w:type="dxa"/>
            </w:tcMar>
            <w:vAlign w:val="center"/>
          </w:tcPr>
          <w:p w14:paraId="2668B888">
            <w:pPr>
              <w:shd w:val="clear"/>
              <w:jc w:val="left"/>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2870ED3C">
            <w:pPr>
              <w:shd w:val="clear"/>
              <w:jc w:val="left"/>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1D9A8358">
            <w:pPr>
              <w:shd w:val="clear"/>
              <w:jc w:val="left"/>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077A7968">
            <w:pPr>
              <w:shd w:val="clear"/>
              <w:jc w:val="left"/>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0947AF38">
            <w:pPr>
              <w:shd w:val="clear"/>
              <w:jc w:val="left"/>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tcMar>
              <w:top w:w="15" w:type="dxa"/>
              <w:left w:w="15" w:type="dxa"/>
              <w:right w:w="15" w:type="dxa"/>
            </w:tcMar>
            <w:vAlign w:val="center"/>
          </w:tcPr>
          <w:p w14:paraId="64FF588C">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2</w:t>
            </w:r>
            <w:r>
              <w:rPr>
                <w:rFonts w:hint="default" w:ascii="Times New Roman" w:hAnsi="Times New Roman" w:cs="Times New Roman" w:eastAsiaTheme="minorEastAsia"/>
                <w:color w:val="auto"/>
                <w:kern w:val="0"/>
                <w:sz w:val="18"/>
                <w:szCs w:val="18"/>
                <w:highlight w:val="none"/>
                <w:lang w:eastAsia="zh-CN"/>
              </w:rPr>
              <w:t>次被查处</w:t>
            </w:r>
          </w:p>
        </w:tc>
        <w:tc>
          <w:tcPr>
            <w:tcW w:w="545" w:type="pct"/>
            <w:gridSpan w:val="2"/>
            <w:shd w:val="clear" w:color="auto" w:fill="auto"/>
            <w:tcMar>
              <w:top w:w="15" w:type="dxa"/>
              <w:left w:w="15" w:type="dxa"/>
              <w:right w:w="15" w:type="dxa"/>
            </w:tcMar>
            <w:vAlign w:val="center"/>
          </w:tcPr>
          <w:p w14:paraId="72584E52">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给予警告，对个人可处440元以上760元以下罚款，对单位可处7400元以上1.46万元以下罚款</w:t>
            </w:r>
          </w:p>
        </w:tc>
        <w:tc>
          <w:tcPr>
            <w:tcW w:w="200" w:type="pct"/>
            <w:gridSpan w:val="2"/>
            <w:vMerge w:val="continue"/>
            <w:shd w:val="clear" w:color="auto" w:fill="auto"/>
            <w:tcMar>
              <w:top w:w="15" w:type="dxa"/>
              <w:left w:w="15" w:type="dxa"/>
              <w:right w:w="15" w:type="dxa"/>
            </w:tcMar>
            <w:vAlign w:val="center"/>
          </w:tcPr>
          <w:p w14:paraId="338D2F69">
            <w:pPr>
              <w:shd w:val="clear"/>
              <w:jc w:val="left"/>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1CA34499">
            <w:pPr>
              <w:shd w:val="clear"/>
              <w:jc w:val="left"/>
              <w:rPr>
                <w:rFonts w:hint="default" w:ascii="Times New Roman" w:hAnsi="Times New Roman" w:cs="Times New Roman" w:eastAsiaTheme="minorEastAsia"/>
                <w:color w:val="auto"/>
                <w:kern w:val="0"/>
                <w:sz w:val="18"/>
                <w:szCs w:val="18"/>
                <w:highlight w:val="none"/>
              </w:rPr>
            </w:pPr>
          </w:p>
        </w:tc>
      </w:tr>
      <w:tr w14:paraId="6392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trPr>
        <w:tc>
          <w:tcPr>
            <w:tcW w:w="117" w:type="pct"/>
            <w:gridSpan w:val="2"/>
            <w:vMerge w:val="continue"/>
            <w:shd w:val="clear" w:color="auto" w:fill="auto"/>
            <w:tcMar>
              <w:top w:w="15" w:type="dxa"/>
              <w:left w:w="15" w:type="dxa"/>
              <w:right w:w="15" w:type="dxa"/>
            </w:tcMar>
            <w:vAlign w:val="center"/>
          </w:tcPr>
          <w:p w14:paraId="60223A43">
            <w:pPr>
              <w:shd w:val="clear"/>
              <w:jc w:val="left"/>
              <w:rPr>
                <w:rFonts w:hint="default" w:ascii="Times New Roman" w:hAnsi="Times New Roman" w:cs="Times New Roman" w:eastAsiaTheme="minorEastAsia"/>
                <w:color w:val="auto"/>
                <w:kern w:val="0"/>
                <w:sz w:val="18"/>
                <w:szCs w:val="18"/>
                <w:highlight w:val="none"/>
              </w:rPr>
            </w:pPr>
          </w:p>
        </w:tc>
        <w:tc>
          <w:tcPr>
            <w:tcW w:w="411" w:type="pct"/>
            <w:gridSpan w:val="2"/>
            <w:vMerge w:val="continue"/>
            <w:shd w:val="clear" w:color="auto" w:fill="auto"/>
            <w:tcMar>
              <w:top w:w="15" w:type="dxa"/>
              <w:left w:w="15" w:type="dxa"/>
              <w:right w:w="15" w:type="dxa"/>
            </w:tcMar>
            <w:vAlign w:val="center"/>
          </w:tcPr>
          <w:p w14:paraId="17DB2502">
            <w:pPr>
              <w:shd w:val="clear"/>
              <w:jc w:val="left"/>
              <w:rPr>
                <w:rFonts w:hint="default" w:ascii="Times New Roman" w:hAnsi="Times New Roman" w:cs="Times New Roman" w:eastAsiaTheme="minorEastAsia"/>
                <w:color w:val="auto"/>
                <w:kern w:val="0"/>
                <w:sz w:val="18"/>
                <w:szCs w:val="18"/>
                <w:highlight w:val="none"/>
              </w:rPr>
            </w:pPr>
          </w:p>
        </w:tc>
        <w:tc>
          <w:tcPr>
            <w:tcW w:w="1310" w:type="pct"/>
            <w:gridSpan w:val="2"/>
            <w:vMerge w:val="continue"/>
            <w:shd w:val="clear" w:color="auto" w:fill="auto"/>
            <w:tcMar>
              <w:top w:w="15" w:type="dxa"/>
              <w:left w:w="15" w:type="dxa"/>
              <w:right w:w="15" w:type="dxa"/>
            </w:tcMar>
            <w:vAlign w:val="center"/>
          </w:tcPr>
          <w:p w14:paraId="02426F8E">
            <w:pPr>
              <w:shd w:val="clear"/>
              <w:jc w:val="left"/>
              <w:rPr>
                <w:rFonts w:hint="default" w:ascii="Times New Roman" w:hAnsi="Times New Roman" w:cs="Times New Roman" w:eastAsiaTheme="minorEastAsia"/>
                <w:color w:val="auto"/>
                <w:kern w:val="0"/>
                <w:sz w:val="18"/>
                <w:szCs w:val="18"/>
                <w:highlight w:val="none"/>
              </w:rPr>
            </w:pPr>
          </w:p>
        </w:tc>
        <w:tc>
          <w:tcPr>
            <w:tcW w:w="1314" w:type="pct"/>
            <w:gridSpan w:val="2"/>
            <w:vMerge w:val="continue"/>
            <w:shd w:val="clear" w:color="auto" w:fill="auto"/>
            <w:tcMar>
              <w:top w:w="15" w:type="dxa"/>
              <w:left w:w="15" w:type="dxa"/>
              <w:right w:w="15" w:type="dxa"/>
            </w:tcMar>
            <w:vAlign w:val="center"/>
          </w:tcPr>
          <w:p w14:paraId="25FF0797">
            <w:pPr>
              <w:shd w:val="clear"/>
              <w:jc w:val="left"/>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11AE3670">
            <w:pPr>
              <w:shd w:val="clear"/>
              <w:jc w:val="left"/>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29ECAD33">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被查处次数3次以上；</w:t>
            </w:r>
          </w:p>
          <w:p w14:paraId="095AB8BA">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在举行中等学校招生考试、高等学校招生统一考试等特殊活动期间违法</w:t>
            </w:r>
          </w:p>
        </w:tc>
        <w:tc>
          <w:tcPr>
            <w:tcW w:w="545" w:type="pct"/>
            <w:gridSpan w:val="2"/>
            <w:shd w:val="clear" w:color="auto" w:fill="auto"/>
            <w:tcMar>
              <w:top w:w="15" w:type="dxa"/>
              <w:left w:w="15" w:type="dxa"/>
              <w:right w:w="15" w:type="dxa"/>
            </w:tcMar>
            <w:vAlign w:val="center"/>
          </w:tcPr>
          <w:p w14:paraId="7CBF30FA">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给予警告，对个人可处760元以上1000元以下罚款，对单位可处1.46万元以上2万元以下罚款</w:t>
            </w:r>
          </w:p>
        </w:tc>
        <w:tc>
          <w:tcPr>
            <w:tcW w:w="200" w:type="pct"/>
            <w:gridSpan w:val="2"/>
            <w:vMerge w:val="continue"/>
            <w:shd w:val="clear" w:color="auto" w:fill="auto"/>
            <w:tcMar>
              <w:top w:w="15" w:type="dxa"/>
              <w:left w:w="15" w:type="dxa"/>
              <w:right w:w="15" w:type="dxa"/>
            </w:tcMar>
            <w:vAlign w:val="center"/>
          </w:tcPr>
          <w:p w14:paraId="4F0FF3A4">
            <w:pPr>
              <w:shd w:val="clear"/>
              <w:jc w:val="left"/>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6684849C">
            <w:pPr>
              <w:shd w:val="clear"/>
              <w:jc w:val="left"/>
              <w:rPr>
                <w:rFonts w:hint="default" w:ascii="Times New Roman" w:hAnsi="Times New Roman" w:cs="Times New Roman" w:eastAsiaTheme="minorEastAsia"/>
                <w:color w:val="auto"/>
                <w:kern w:val="0"/>
                <w:sz w:val="18"/>
                <w:szCs w:val="18"/>
                <w:highlight w:val="none"/>
              </w:rPr>
            </w:pPr>
          </w:p>
        </w:tc>
      </w:tr>
      <w:tr w14:paraId="0D3D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trPr>
        <w:tc>
          <w:tcPr>
            <w:tcW w:w="117" w:type="pct"/>
            <w:gridSpan w:val="2"/>
            <w:vMerge w:val="restart"/>
            <w:shd w:val="clear" w:color="auto" w:fill="auto"/>
            <w:tcMar>
              <w:top w:w="15" w:type="dxa"/>
              <w:left w:w="15" w:type="dxa"/>
              <w:right w:w="15" w:type="dxa"/>
            </w:tcMar>
            <w:vAlign w:val="center"/>
          </w:tcPr>
          <w:p w14:paraId="27B21D83">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94</w:t>
            </w:r>
          </w:p>
        </w:tc>
        <w:tc>
          <w:tcPr>
            <w:tcW w:w="411" w:type="pct"/>
            <w:gridSpan w:val="2"/>
            <w:vMerge w:val="restart"/>
            <w:shd w:val="clear" w:color="auto" w:fill="auto"/>
            <w:tcMar>
              <w:top w:w="15" w:type="dxa"/>
              <w:left w:w="15" w:type="dxa"/>
              <w:right w:w="15" w:type="dxa"/>
            </w:tcMar>
            <w:vAlign w:val="center"/>
          </w:tcPr>
          <w:p w14:paraId="21198AC1">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居民住宅区安装共用设施设备，设置不合理或者未采取减少振动、降低噪声的措施，不符合民用建筑隔声设计相关标准要求的</w:t>
            </w:r>
          </w:p>
        </w:tc>
        <w:tc>
          <w:tcPr>
            <w:tcW w:w="1310" w:type="pct"/>
            <w:gridSpan w:val="2"/>
            <w:vMerge w:val="restart"/>
            <w:shd w:val="clear" w:color="auto" w:fill="auto"/>
            <w:tcMar>
              <w:top w:w="15" w:type="dxa"/>
              <w:left w:w="15" w:type="dxa"/>
              <w:right w:w="15" w:type="dxa"/>
            </w:tcMar>
            <w:vAlign w:val="center"/>
          </w:tcPr>
          <w:p w14:paraId="0526EED9">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《中华人民共和国噪声污染防治法》第六十八条</w:t>
            </w:r>
            <w:r>
              <w:rPr>
                <w:rFonts w:hint="default" w:ascii="Times New Roman" w:hAnsi="Times New Roman" w:cs="Times New Roman" w:eastAsiaTheme="minorEastAsia"/>
                <w:color w:val="auto"/>
                <w:kern w:val="0"/>
                <w:sz w:val="18"/>
                <w:szCs w:val="18"/>
                <w:highlight w:val="none"/>
                <w:lang w:eastAsia="zh-CN"/>
              </w:rPr>
              <w:t>第一款：“</w:t>
            </w:r>
            <w:r>
              <w:rPr>
                <w:rFonts w:hint="default" w:ascii="Times New Roman" w:hAnsi="Times New Roman" w:cs="Times New Roman" w:eastAsiaTheme="minorEastAsia"/>
                <w:color w:val="auto"/>
                <w:kern w:val="0"/>
                <w:sz w:val="18"/>
                <w:szCs w:val="18"/>
                <w:highlight w:val="none"/>
              </w:rPr>
              <w:t>居民住宅区安装电梯、水泵、变压器等共用设施设备的，建设单位应当合理设置，采取减少振动、降低噪声的措施，符合民用建筑隔声设计相关标准要求。</w:t>
            </w:r>
            <w:r>
              <w:rPr>
                <w:rFonts w:hint="default" w:ascii="Times New Roman" w:hAnsi="Times New Roman" w:cs="Times New Roman" w:eastAsiaTheme="minorEastAsia"/>
                <w:color w:val="auto"/>
                <w:kern w:val="0"/>
                <w:sz w:val="18"/>
                <w:szCs w:val="18"/>
                <w:highlight w:val="none"/>
                <w:lang w:eastAsia="zh-CN"/>
              </w:rPr>
              <w:t>”</w:t>
            </w:r>
          </w:p>
        </w:tc>
        <w:tc>
          <w:tcPr>
            <w:tcW w:w="1314" w:type="pct"/>
            <w:gridSpan w:val="2"/>
            <w:vMerge w:val="restart"/>
            <w:shd w:val="clear" w:color="auto" w:fill="auto"/>
            <w:tcMar>
              <w:top w:w="15" w:type="dxa"/>
              <w:left w:w="15" w:type="dxa"/>
              <w:right w:w="15" w:type="dxa"/>
            </w:tcMar>
            <w:vAlign w:val="center"/>
          </w:tcPr>
          <w:p w14:paraId="567DFC49">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《中华人民共和国噪声污染防治法》第八十四条</w:t>
            </w:r>
            <w:r>
              <w:rPr>
                <w:rFonts w:hint="default" w:ascii="Times New Roman" w:hAnsi="Times New Roman" w:cs="Times New Roman" w:eastAsiaTheme="minorEastAsia"/>
                <w:color w:val="auto"/>
                <w:kern w:val="0"/>
                <w:sz w:val="18"/>
                <w:szCs w:val="18"/>
                <w:highlight w:val="none"/>
                <w:lang w:eastAsia="zh-CN"/>
              </w:rPr>
              <w:t>第一项：“</w:t>
            </w:r>
            <w:r>
              <w:rPr>
                <w:rFonts w:hint="default" w:ascii="Times New Roman" w:hAnsi="Times New Roman" w:cs="Times New Roman" w:eastAsiaTheme="minorEastAsia"/>
                <w:color w:val="auto"/>
                <w:kern w:val="0"/>
                <w:sz w:val="18"/>
                <w:szCs w:val="18"/>
                <w:highlight w:val="none"/>
              </w:rPr>
              <w:t>违反本法规定，有下列行为之一，由地方人民政府指定的部门责令改正，处五千元以上五万元以下的罚款；拒不改正的，处五万元以上二十万元以下的罚款：（一）居民住宅区安装共用设施设备，设置不合理或者未采取减少振动、降低噪声的措施，不符合民用建筑隔声设计相关标准要求的；</w:t>
            </w:r>
            <w:r>
              <w:rPr>
                <w:rFonts w:hint="default" w:ascii="Times New Roman" w:hAnsi="Times New Roman" w:cs="Times New Roman" w:eastAsiaTheme="minorEastAsia"/>
                <w:color w:val="auto"/>
                <w:kern w:val="0"/>
                <w:sz w:val="18"/>
                <w:szCs w:val="18"/>
                <w:highlight w:val="none"/>
                <w:lang w:eastAsia="zh-CN"/>
              </w:rPr>
              <w:t>”</w:t>
            </w:r>
          </w:p>
        </w:tc>
        <w:tc>
          <w:tcPr>
            <w:tcW w:w="177" w:type="pct"/>
            <w:gridSpan w:val="2"/>
            <w:shd w:val="clear" w:color="auto" w:fill="auto"/>
            <w:tcMar>
              <w:top w:w="15" w:type="dxa"/>
              <w:left w:w="15" w:type="dxa"/>
              <w:right w:w="15" w:type="dxa"/>
            </w:tcMar>
            <w:vAlign w:val="center"/>
          </w:tcPr>
          <w:p w14:paraId="2F13A2AC">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4A8839BE">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val="en-US" w:eastAsia="zh-CN"/>
              </w:rPr>
              <w:t>位于3类、4类声环境功能区</w:t>
            </w:r>
          </w:p>
        </w:tc>
        <w:tc>
          <w:tcPr>
            <w:tcW w:w="545" w:type="pct"/>
            <w:gridSpan w:val="2"/>
            <w:shd w:val="clear" w:color="auto" w:fill="auto"/>
            <w:tcMar>
              <w:top w:w="15" w:type="dxa"/>
              <w:left w:w="15" w:type="dxa"/>
              <w:right w:w="15" w:type="dxa"/>
            </w:tcMar>
            <w:vAlign w:val="center"/>
          </w:tcPr>
          <w:p w14:paraId="14FD74B5">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处</w:t>
            </w:r>
            <w:r>
              <w:rPr>
                <w:rFonts w:hint="default" w:ascii="Times New Roman" w:hAnsi="Times New Roman" w:cs="Times New Roman" w:eastAsiaTheme="minorEastAsia"/>
                <w:color w:val="auto"/>
                <w:kern w:val="0"/>
                <w:sz w:val="18"/>
                <w:szCs w:val="18"/>
                <w:highlight w:val="none"/>
                <w:lang w:val="en-US" w:eastAsia="zh-CN"/>
              </w:rPr>
              <w:t>5000元以上1.85万元以下罚款；拒不改正的，处5万元以上9.5万元以下罚款</w:t>
            </w:r>
          </w:p>
        </w:tc>
        <w:tc>
          <w:tcPr>
            <w:tcW w:w="200" w:type="pct"/>
            <w:gridSpan w:val="2"/>
            <w:vMerge w:val="restart"/>
            <w:shd w:val="clear" w:color="auto" w:fill="auto"/>
            <w:tcMar>
              <w:top w:w="15" w:type="dxa"/>
              <w:left w:w="15" w:type="dxa"/>
              <w:right w:w="15" w:type="dxa"/>
            </w:tcMar>
            <w:vAlign w:val="center"/>
          </w:tcPr>
          <w:p w14:paraId="4DD1B3E3">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责令改正</w:t>
            </w:r>
          </w:p>
        </w:tc>
        <w:tc>
          <w:tcPr>
            <w:tcW w:w="390" w:type="pct"/>
            <w:gridSpan w:val="3"/>
            <w:vMerge w:val="restart"/>
            <w:shd w:val="clear" w:color="auto" w:fill="auto"/>
            <w:tcMar>
              <w:top w:w="15" w:type="dxa"/>
              <w:left w:w="15" w:type="dxa"/>
              <w:right w:w="15" w:type="dxa"/>
            </w:tcMar>
            <w:vAlign w:val="center"/>
          </w:tcPr>
          <w:p w14:paraId="7701AC80">
            <w:pPr>
              <w:shd w:val="clear"/>
              <w:jc w:val="left"/>
              <w:rPr>
                <w:rFonts w:hint="default" w:ascii="Times New Roman" w:hAnsi="Times New Roman" w:cs="Times New Roman" w:eastAsiaTheme="minorEastAsia"/>
                <w:color w:val="auto"/>
                <w:sz w:val="18"/>
                <w:szCs w:val="18"/>
                <w:highlight w:val="none"/>
              </w:rPr>
            </w:pPr>
          </w:p>
        </w:tc>
      </w:tr>
      <w:tr w14:paraId="7C0A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trPr>
        <w:tc>
          <w:tcPr>
            <w:tcW w:w="117" w:type="pct"/>
            <w:gridSpan w:val="2"/>
            <w:vMerge w:val="continue"/>
            <w:shd w:val="clear" w:color="auto" w:fill="auto"/>
            <w:tcMar>
              <w:top w:w="15" w:type="dxa"/>
              <w:left w:w="15" w:type="dxa"/>
              <w:right w:w="15" w:type="dxa"/>
            </w:tcMar>
            <w:vAlign w:val="center"/>
          </w:tcPr>
          <w:p w14:paraId="5F3C72EC">
            <w:pPr>
              <w:shd w:val="clear"/>
              <w:jc w:val="left"/>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35D4D394">
            <w:pPr>
              <w:shd w:val="clear"/>
              <w:jc w:val="left"/>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721275BC">
            <w:pPr>
              <w:shd w:val="clear"/>
              <w:jc w:val="left"/>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322E014D">
            <w:pPr>
              <w:shd w:val="clear"/>
              <w:jc w:val="left"/>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2924FC01">
            <w:pPr>
              <w:shd w:val="clear"/>
              <w:jc w:val="left"/>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tcMar>
              <w:top w:w="15" w:type="dxa"/>
              <w:left w:w="15" w:type="dxa"/>
              <w:right w:w="15" w:type="dxa"/>
            </w:tcMar>
            <w:vAlign w:val="center"/>
          </w:tcPr>
          <w:p w14:paraId="619AB15E">
            <w:pPr>
              <w:shd w:val="clear"/>
              <w:jc w:val="left"/>
              <w:rPr>
                <w:rFonts w:hint="default" w:ascii="Times New Roman" w:hAnsi="Times New Roman" w:cs="Times New Roman" w:eastAsiaTheme="minorEastAsia"/>
                <w:color w:val="auto"/>
                <w:kern w:val="0"/>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位于2类声环境功能区</w:t>
            </w:r>
          </w:p>
        </w:tc>
        <w:tc>
          <w:tcPr>
            <w:tcW w:w="545" w:type="pct"/>
            <w:gridSpan w:val="2"/>
            <w:shd w:val="clear" w:color="auto" w:fill="auto"/>
            <w:tcMar>
              <w:top w:w="15" w:type="dxa"/>
              <w:left w:w="15" w:type="dxa"/>
              <w:right w:w="15" w:type="dxa"/>
            </w:tcMar>
            <w:vAlign w:val="center"/>
          </w:tcPr>
          <w:p w14:paraId="796DC3AD">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处</w:t>
            </w:r>
            <w:r>
              <w:rPr>
                <w:rFonts w:hint="default" w:ascii="Times New Roman" w:hAnsi="Times New Roman" w:cs="Times New Roman" w:eastAsiaTheme="minorEastAsia"/>
                <w:color w:val="auto"/>
                <w:kern w:val="0"/>
                <w:sz w:val="18"/>
                <w:szCs w:val="18"/>
                <w:highlight w:val="none"/>
                <w:lang w:val="en-US" w:eastAsia="zh-CN"/>
              </w:rPr>
              <w:t>1.85万元以上3.65万元以下罚款；拒不改正的，处9.5万元以上15.5万元以下罚款</w:t>
            </w:r>
          </w:p>
        </w:tc>
        <w:tc>
          <w:tcPr>
            <w:tcW w:w="200" w:type="pct"/>
            <w:gridSpan w:val="2"/>
            <w:vMerge w:val="continue"/>
            <w:shd w:val="clear" w:color="auto" w:fill="auto"/>
            <w:tcMar>
              <w:top w:w="15" w:type="dxa"/>
              <w:left w:w="15" w:type="dxa"/>
              <w:right w:w="15" w:type="dxa"/>
            </w:tcMar>
            <w:vAlign w:val="center"/>
          </w:tcPr>
          <w:p w14:paraId="04BFE794">
            <w:pPr>
              <w:shd w:val="clear"/>
              <w:jc w:val="left"/>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68B60483">
            <w:pPr>
              <w:shd w:val="clear"/>
              <w:jc w:val="left"/>
              <w:rPr>
                <w:rFonts w:hint="default" w:ascii="Times New Roman" w:hAnsi="Times New Roman" w:cs="Times New Roman" w:eastAsiaTheme="minorEastAsia"/>
                <w:color w:val="auto"/>
                <w:kern w:val="0"/>
                <w:sz w:val="18"/>
                <w:szCs w:val="18"/>
                <w:highlight w:val="none"/>
              </w:rPr>
            </w:pPr>
          </w:p>
        </w:tc>
      </w:tr>
      <w:tr w14:paraId="0024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trPr>
        <w:tc>
          <w:tcPr>
            <w:tcW w:w="117" w:type="pct"/>
            <w:gridSpan w:val="2"/>
            <w:vMerge w:val="continue"/>
            <w:shd w:val="clear" w:color="auto" w:fill="auto"/>
            <w:tcMar>
              <w:top w:w="15" w:type="dxa"/>
              <w:left w:w="15" w:type="dxa"/>
              <w:right w:w="15" w:type="dxa"/>
            </w:tcMar>
            <w:vAlign w:val="center"/>
          </w:tcPr>
          <w:p w14:paraId="52ED6E7D">
            <w:pPr>
              <w:shd w:val="clear"/>
              <w:jc w:val="left"/>
              <w:rPr>
                <w:rFonts w:hint="default" w:ascii="Times New Roman" w:hAnsi="Times New Roman" w:cs="Times New Roman" w:eastAsiaTheme="minorEastAsia"/>
                <w:color w:val="auto"/>
                <w:kern w:val="0"/>
                <w:sz w:val="18"/>
                <w:szCs w:val="18"/>
                <w:highlight w:val="none"/>
              </w:rPr>
            </w:pPr>
          </w:p>
        </w:tc>
        <w:tc>
          <w:tcPr>
            <w:tcW w:w="411" w:type="pct"/>
            <w:gridSpan w:val="2"/>
            <w:vMerge w:val="continue"/>
            <w:shd w:val="clear" w:color="auto" w:fill="auto"/>
            <w:tcMar>
              <w:top w:w="15" w:type="dxa"/>
              <w:left w:w="15" w:type="dxa"/>
              <w:right w:w="15" w:type="dxa"/>
            </w:tcMar>
            <w:vAlign w:val="center"/>
          </w:tcPr>
          <w:p w14:paraId="6174E697">
            <w:pPr>
              <w:shd w:val="clear"/>
              <w:jc w:val="left"/>
              <w:rPr>
                <w:rFonts w:hint="default" w:ascii="Times New Roman" w:hAnsi="Times New Roman" w:cs="Times New Roman" w:eastAsiaTheme="minorEastAsia"/>
                <w:color w:val="auto"/>
                <w:kern w:val="0"/>
                <w:sz w:val="18"/>
                <w:szCs w:val="18"/>
                <w:highlight w:val="none"/>
              </w:rPr>
            </w:pPr>
          </w:p>
        </w:tc>
        <w:tc>
          <w:tcPr>
            <w:tcW w:w="1310" w:type="pct"/>
            <w:gridSpan w:val="2"/>
            <w:vMerge w:val="continue"/>
            <w:shd w:val="clear" w:color="auto" w:fill="auto"/>
            <w:tcMar>
              <w:top w:w="15" w:type="dxa"/>
              <w:left w:w="15" w:type="dxa"/>
              <w:right w:w="15" w:type="dxa"/>
            </w:tcMar>
            <w:vAlign w:val="center"/>
          </w:tcPr>
          <w:p w14:paraId="2330EAC6">
            <w:pPr>
              <w:shd w:val="clear"/>
              <w:jc w:val="left"/>
              <w:rPr>
                <w:rFonts w:hint="default" w:ascii="Times New Roman" w:hAnsi="Times New Roman" w:cs="Times New Roman" w:eastAsiaTheme="minorEastAsia"/>
                <w:color w:val="auto"/>
                <w:kern w:val="0"/>
                <w:sz w:val="18"/>
                <w:szCs w:val="18"/>
                <w:highlight w:val="none"/>
              </w:rPr>
            </w:pPr>
          </w:p>
        </w:tc>
        <w:tc>
          <w:tcPr>
            <w:tcW w:w="1314" w:type="pct"/>
            <w:gridSpan w:val="2"/>
            <w:vMerge w:val="continue"/>
            <w:shd w:val="clear" w:color="auto" w:fill="auto"/>
            <w:tcMar>
              <w:top w:w="15" w:type="dxa"/>
              <w:left w:w="15" w:type="dxa"/>
              <w:right w:w="15" w:type="dxa"/>
            </w:tcMar>
            <w:vAlign w:val="center"/>
          </w:tcPr>
          <w:p w14:paraId="5682DEB9">
            <w:pPr>
              <w:shd w:val="clear"/>
              <w:jc w:val="left"/>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34E4822A">
            <w:pPr>
              <w:shd w:val="clear"/>
              <w:jc w:val="left"/>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75A38036">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位于1类声环境功能区</w:t>
            </w:r>
          </w:p>
        </w:tc>
        <w:tc>
          <w:tcPr>
            <w:tcW w:w="545" w:type="pct"/>
            <w:gridSpan w:val="2"/>
            <w:shd w:val="clear" w:color="auto" w:fill="auto"/>
            <w:tcMar>
              <w:top w:w="15" w:type="dxa"/>
              <w:left w:w="15" w:type="dxa"/>
              <w:right w:w="15" w:type="dxa"/>
            </w:tcMar>
            <w:vAlign w:val="center"/>
          </w:tcPr>
          <w:p w14:paraId="1BB26B97">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处</w:t>
            </w:r>
            <w:r>
              <w:rPr>
                <w:rFonts w:hint="default" w:ascii="Times New Roman" w:hAnsi="Times New Roman" w:cs="Times New Roman" w:eastAsiaTheme="minorEastAsia"/>
                <w:color w:val="auto"/>
                <w:kern w:val="0"/>
                <w:sz w:val="18"/>
                <w:szCs w:val="18"/>
                <w:highlight w:val="none"/>
                <w:lang w:val="en-US" w:eastAsia="zh-CN"/>
              </w:rPr>
              <w:t>3.65万元以上5万元以下罚款；拒不改正的，处15.5万元以上20万元以下罚款</w:t>
            </w:r>
          </w:p>
          <w:p w14:paraId="38120376">
            <w:pPr>
              <w:shd w:val="clear"/>
              <w:jc w:val="left"/>
              <w:rPr>
                <w:rFonts w:hint="default" w:ascii="Times New Roman" w:hAnsi="Times New Roman" w:cs="Times New Roman" w:eastAsiaTheme="minorEastAsia"/>
                <w:color w:val="auto"/>
                <w:kern w:val="0"/>
                <w:sz w:val="18"/>
                <w:szCs w:val="18"/>
                <w:highlight w:val="none"/>
                <w:lang w:val="en-US" w:eastAsia="zh-CN"/>
              </w:rPr>
            </w:pPr>
          </w:p>
        </w:tc>
        <w:tc>
          <w:tcPr>
            <w:tcW w:w="200" w:type="pct"/>
            <w:gridSpan w:val="2"/>
            <w:vMerge w:val="continue"/>
            <w:shd w:val="clear" w:color="auto" w:fill="auto"/>
            <w:tcMar>
              <w:top w:w="15" w:type="dxa"/>
              <w:left w:w="15" w:type="dxa"/>
              <w:right w:w="15" w:type="dxa"/>
            </w:tcMar>
            <w:vAlign w:val="center"/>
          </w:tcPr>
          <w:p w14:paraId="40A239E6">
            <w:pPr>
              <w:shd w:val="clear"/>
              <w:jc w:val="left"/>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45E8D893">
            <w:pPr>
              <w:shd w:val="clear"/>
              <w:jc w:val="left"/>
              <w:rPr>
                <w:rFonts w:hint="default" w:ascii="Times New Roman" w:hAnsi="Times New Roman" w:cs="Times New Roman" w:eastAsiaTheme="minorEastAsia"/>
                <w:color w:val="auto"/>
                <w:kern w:val="0"/>
                <w:sz w:val="18"/>
                <w:szCs w:val="18"/>
                <w:highlight w:val="none"/>
              </w:rPr>
            </w:pPr>
          </w:p>
        </w:tc>
      </w:tr>
      <w:tr w14:paraId="60EF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trPr>
        <w:tc>
          <w:tcPr>
            <w:tcW w:w="117" w:type="pct"/>
            <w:gridSpan w:val="2"/>
            <w:vMerge w:val="restart"/>
            <w:shd w:val="clear" w:color="auto" w:fill="auto"/>
            <w:tcMar>
              <w:top w:w="15" w:type="dxa"/>
              <w:left w:w="15" w:type="dxa"/>
              <w:right w:w="15" w:type="dxa"/>
            </w:tcMar>
            <w:vAlign w:val="center"/>
          </w:tcPr>
          <w:p w14:paraId="39DBD60D">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95</w:t>
            </w:r>
          </w:p>
        </w:tc>
        <w:tc>
          <w:tcPr>
            <w:tcW w:w="411" w:type="pct"/>
            <w:gridSpan w:val="2"/>
            <w:vMerge w:val="restart"/>
            <w:shd w:val="clear" w:color="auto" w:fill="auto"/>
            <w:tcMar>
              <w:top w:w="15" w:type="dxa"/>
              <w:left w:w="15" w:type="dxa"/>
              <w:right w:w="15" w:type="dxa"/>
            </w:tcMar>
            <w:vAlign w:val="center"/>
          </w:tcPr>
          <w:p w14:paraId="595DD6AF">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对已建成使用的居民住宅区共用设施设备，专业运营单位未进行维护管理，不符合民用建筑隔声设计相关标准要求的</w:t>
            </w:r>
          </w:p>
        </w:tc>
        <w:tc>
          <w:tcPr>
            <w:tcW w:w="1310" w:type="pct"/>
            <w:gridSpan w:val="2"/>
            <w:vMerge w:val="restart"/>
            <w:shd w:val="clear" w:color="auto" w:fill="auto"/>
            <w:tcMar>
              <w:top w:w="15" w:type="dxa"/>
              <w:left w:w="15" w:type="dxa"/>
              <w:right w:w="15" w:type="dxa"/>
            </w:tcMar>
            <w:vAlign w:val="center"/>
          </w:tcPr>
          <w:p w14:paraId="301A0267">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《中华人民共和国噪声污染防治法》第六十八条</w:t>
            </w:r>
            <w:r>
              <w:rPr>
                <w:rFonts w:hint="default" w:ascii="Times New Roman" w:hAnsi="Times New Roman" w:cs="Times New Roman" w:eastAsiaTheme="minorEastAsia"/>
                <w:color w:val="auto"/>
                <w:kern w:val="0"/>
                <w:sz w:val="18"/>
                <w:szCs w:val="18"/>
                <w:highlight w:val="none"/>
                <w:lang w:eastAsia="zh-CN"/>
              </w:rPr>
              <w:t>第二款：“</w:t>
            </w:r>
            <w:r>
              <w:rPr>
                <w:rFonts w:hint="default" w:ascii="Times New Roman" w:hAnsi="Times New Roman" w:cs="Times New Roman" w:eastAsiaTheme="minorEastAsia"/>
                <w:color w:val="auto"/>
                <w:kern w:val="0"/>
                <w:sz w:val="18"/>
                <w:szCs w:val="18"/>
                <w:highlight w:val="none"/>
              </w:rPr>
              <w:t>已建成使用的居民住宅区电梯、水泵、变压器等共用设施设备由专业运营单位负责维护管理，符合民用建筑隔声设计相关标准要求。</w:t>
            </w:r>
            <w:r>
              <w:rPr>
                <w:rFonts w:hint="default" w:ascii="Times New Roman" w:hAnsi="Times New Roman" w:cs="Times New Roman" w:eastAsiaTheme="minorEastAsia"/>
                <w:color w:val="auto"/>
                <w:kern w:val="0"/>
                <w:sz w:val="18"/>
                <w:szCs w:val="18"/>
                <w:highlight w:val="none"/>
                <w:lang w:eastAsia="zh-CN"/>
              </w:rPr>
              <w:t>”</w:t>
            </w:r>
          </w:p>
        </w:tc>
        <w:tc>
          <w:tcPr>
            <w:tcW w:w="1314" w:type="pct"/>
            <w:gridSpan w:val="2"/>
            <w:vMerge w:val="restart"/>
            <w:shd w:val="clear" w:color="auto" w:fill="auto"/>
            <w:tcMar>
              <w:top w:w="15" w:type="dxa"/>
              <w:left w:w="15" w:type="dxa"/>
              <w:right w:w="15" w:type="dxa"/>
            </w:tcMar>
            <w:vAlign w:val="center"/>
          </w:tcPr>
          <w:p w14:paraId="65F675A3">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《中华人民共和国噪声污染防治法》第八十四条</w:t>
            </w:r>
            <w:r>
              <w:rPr>
                <w:rFonts w:hint="default" w:ascii="Times New Roman" w:hAnsi="Times New Roman" w:cs="Times New Roman" w:eastAsiaTheme="minorEastAsia"/>
                <w:color w:val="auto"/>
                <w:kern w:val="0"/>
                <w:sz w:val="18"/>
                <w:szCs w:val="18"/>
                <w:highlight w:val="none"/>
                <w:lang w:eastAsia="zh-CN"/>
              </w:rPr>
              <w:t>第二项：“</w:t>
            </w:r>
            <w:r>
              <w:rPr>
                <w:rFonts w:hint="default" w:ascii="Times New Roman" w:hAnsi="Times New Roman" w:cs="Times New Roman" w:eastAsiaTheme="minorEastAsia"/>
                <w:color w:val="auto"/>
                <w:kern w:val="0"/>
                <w:sz w:val="18"/>
                <w:szCs w:val="18"/>
                <w:highlight w:val="none"/>
              </w:rPr>
              <w:t>违反本法规定，有下列行为之一，由地方人民政府指定的部门责令改正，处五千元以上五万元以下的罚款；拒不改正的，处五万元以上二十万元以下的罚款：（二）对已建成使用的居民住宅区共用设施设备，专业运营单位未进行维护管理，不符合民用建筑隔声设计相关标准要求的。</w:t>
            </w:r>
            <w:r>
              <w:rPr>
                <w:rFonts w:hint="default" w:ascii="Times New Roman" w:hAnsi="Times New Roman" w:cs="Times New Roman" w:eastAsiaTheme="minorEastAsia"/>
                <w:color w:val="auto"/>
                <w:kern w:val="0"/>
                <w:sz w:val="18"/>
                <w:szCs w:val="18"/>
                <w:highlight w:val="none"/>
                <w:lang w:eastAsia="zh-CN"/>
              </w:rPr>
              <w:t>”</w:t>
            </w:r>
          </w:p>
        </w:tc>
        <w:tc>
          <w:tcPr>
            <w:tcW w:w="177" w:type="pct"/>
            <w:gridSpan w:val="2"/>
            <w:shd w:val="clear" w:color="auto" w:fill="auto"/>
            <w:tcMar>
              <w:top w:w="15" w:type="dxa"/>
              <w:left w:w="15" w:type="dxa"/>
              <w:right w:w="15" w:type="dxa"/>
            </w:tcMar>
            <w:vAlign w:val="center"/>
          </w:tcPr>
          <w:p w14:paraId="7FD0AB4A">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3E4C2B3A">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位于3类、4类声环境功能区</w:t>
            </w:r>
          </w:p>
        </w:tc>
        <w:tc>
          <w:tcPr>
            <w:tcW w:w="545" w:type="pct"/>
            <w:gridSpan w:val="2"/>
            <w:shd w:val="clear" w:color="auto" w:fill="auto"/>
            <w:tcMar>
              <w:top w:w="15" w:type="dxa"/>
              <w:left w:w="15" w:type="dxa"/>
              <w:right w:w="15" w:type="dxa"/>
            </w:tcMar>
            <w:vAlign w:val="center"/>
          </w:tcPr>
          <w:p w14:paraId="77AA0685">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处</w:t>
            </w:r>
            <w:r>
              <w:rPr>
                <w:rFonts w:hint="default" w:ascii="Times New Roman" w:hAnsi="Times New Roman" w:cs="Times New Roman" w:eastAsiaTheme="minorEastAsia"/>
                <w:color w:val="auto"/>
                <w:kern w:val="0"/>
                <w:sz w:val="18"/>
                <w:szCs w:val="18"/>
                <w:highlight w:val="none"/>
                <w:lang w:val="en-US" w:eastAsia="zh-CN"/>
              </w:rPr>
              <w:t>5000元以上1.85万元以下罚款；拒不改正的，处5万元以上9.5万元以下罚款</w:t>
            </w:r>
          </w:p>
          <w:p w14:paraId="68BF1F46">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200" w:type="pct"/>
            <w:gridSpan w:val="2"/>
            <w:vMerge w:val="restart"/>
            <w:shd w:val="clear" w:color="auto" w:fill="auto"/>
            <w:tcMar>
              <w:top w:w="15" w:type="dxa"/>
              <w:left w:w="15" w:type="dxa"/>
              <w:right w:w="15" w:type="dxa"/>
            </w:tcMar>
            <w:vAlign w:val="center"/>
          </w:tcPr>
          <w:p w14:paraId="5E5A2415">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责令改正</w:t>
            </w:r>
          </w:p>
        </w:tc>
        <w:tc>
          <w:tcPr>
            <w:tcW w:w="390" w:type="pct"/>
            <w:gridSpan w:val="3"/>
            <w:vMerge w:val="restart"/>
            <w:shd w:val="clear" w:color="auto" w:fill="auto"/>
            <w:tcMar>
              <w:top w:w="15" w:type="dxa"/>
              <w:left w:w="15" w:type="dxa"/>
              <w:right w:w="15" w:type="dxa"/>
            </w:tcMar>
            <w:vAlign w:val="center"/>
          </w:tcPr>
          <w:p w14:paraId="5B822263">
            <w:pPr>
              <w:shd w:val="clear"/>
              <w:jc w:val="left"/>
              <w:rPr>
                <w:rFonts w:hint="default" w:ascii="Times New Roman" w:hAnsi="Times New Roman" w:cs="Times New Roman" w:eastAsiaTheme="minorEastAsia"/>
                <w:color w:val="auto"/>
                <w:sz w:val="18"/>
                <w:szCs w:val="18"/>
                <w:highlight w:val="none"/>
              </w:rPr>
            </w:pPr>
          </w:p>
        </w:tc>
      </w:tr>
      <w:tr w14:paraId="0498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trPr>
        <w:tc>
          <w:tcPr>
            <w:tcW w:w="117" w:type="pct"/>
            <w:gridSpan w:val="2"/>
            <w:vMerge w:val="continue"/>
            <w:shd w:val="clear" w:color="auto" w:fill="auto"/>
            <w:tcMar>
              <w:top w:w="15" w:type="dxa"/>
              <w:left w:w="15" w:type="dxa"/>
              <w:right w:w="15" w:type="dxa"/>
            </w:tcMar>
            <w:vAlign w:val="center"/>
          </w:tcPr>
          <w:p w14:paraId="40801FD5">
            <w:pPr>
              <w:shd w:val="clear"/>
              <w:jc w:val="left"/>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6AB03EC4">
            <w:pPr>
              <w:shd w:val="clear"/>
              <w:jc w:val="left"/>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5B8A9196">
            <w:pPr>
              <w:shd w:val="clear"/>
              <w:jc w:val="left"/>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7DAB49CA">
            <w:pPr>
              <w:shd w:val="clear"/>
              <w:jc w:val="left"/>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62E87886">
            <w:pPr>
              <w:shd w:val="clear"/>
              <w:jc w:val="left"/>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tcMar>
              <w:top w:w="15" w:type="dxa"/>
              <w:left w:w="15" w:type="dxa"/>
              <w:right w:w="15" w:type="dxa"/>
            </w:tcMar>
            <w:vAlign w:val="center"/>
          </w:tcPr>
          <w:p w14:paraId="15475C51">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位于2类声环境功能区</w:t>
            </w:r>
          </w:p>
        </w:tc>
        <w:tc>
          <w:tcPr>
            <w:tcW w:w="545" w:type="pct"/>
            <w:gridSpan w:val="2"/>
            <w:shd w:val="clear" w:color="auto" w:fill="auto"/>
            <w:tcMar>
              <w:top w:w="15" w:type="dxa"/>
              <w:left w:w="15" w:type="dxa"/>
              <w:right w:w="15" w:type="dxa"/>
            </w:tcMar>
            <w:vAlign w:val="center"/>
          </w:tcPr>
          <w:p w14:paraId="0F142089">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eastAsia="zh-CN"/>
              </w:rPr>
              <w:t>处</w:t>
            </w:r>
            <w:r>
              <w:rPr>
                <w:rFonts w:hint="default" w:ascii="Times New Roman" w:hAnsi="Times New Roman" w:cs="Times New Roman" w:eastAsiaTheme="minorEastAsia"/>
                <w:color w:val="auto"/>
                <w:kern w:val="0"/>
                <w:sz w:val="18"/>
                <w:szCs w:val="18"/>
                <w:highlight w:val="none"/>
                <w:lang w:val="en-US" w:eastAsia="zh-CN"/>
              </w:rPr>
              <w:t>1.85万元以上3.65万元以下罚款；拒不改正的，处9.5万元以上15.5万元以下罚款</w:t>
            </w:r>
          </w:p>
        </w:tc>
        <w:tc>
          <w:tcPr>
            <w:tcW w:w="200" w:type="pct"/>
            <w:gridSpan w:val="2"/>
            <w:vMerge w:val="continue"/>
            <w:shd w:val="clear" w:color="auto" w:fill="auto"/>
            <w:tcMar>
              <w:top w:w="15" w:type="dxa"/>
              <w:left w:w="15" w:type="dxa"/>
              <w:right w:w="15" w:type="dxa"/>
            </w:tcMar>
            <w:vAlign w:val="center"/>
          </w:tcPr>
          <w:p w14:paraId="1D22F5BF">
            <w:pPr>
              <w:shd w:val="clear"/>
              <w:jc w:val="left"/>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2AE6ED28">
            <w:pPr>
              <w:shd w:val="clear"/>
              <w:jc w:val="left"/>
              <w:rPr>
                <w:rFonts w:hint="default" w:ascii="Times New Roman" w:hAnsi="Times New Roman" w:cs="Times New Roman" w:eastAsiaTheme="minorEastAsia"/>
                <w:color w:val="auto"/>
                <w:kern w:val="0"/>
                <w:sz w:val="18"/>
                <w:szCs w:val="18"/>
                <w:highlight w:val="none"/>
              </w:rPr>
            </w:pPr>
          </w:p>
        </w:tc>
      </w:tr>
      <w:tr w14:paraId="33BAD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trPr>
        <w:tc>
          <w:tcPr>
            <w:tcW w:w="117" w:type="pct"/>
            <w:gridSpan w:val="2"/>
            <w:vMerge w:val="continue"/>
            <w:shd w:val="clear" w:color="auto" w:fill="auto"/>
            <w:tcMar>
              <w:top w:w="15" w:type="dxa"/>
              <w:left w:w="15" w:type="dxa"/>
              <w:right w:w="15" w:type="dxa"/>
            </w:tcMar>
            <w:vAlign w:val="center"/>
          </w:tcPr>
          <w:p w14:paraId="64596D15">
            <w:pPr>
              <w:shd w:val="clear"/>
              <w:jc w:val="left"/>
              <w:rPr>
                <w:rFonts w:hint="default" w:ascii="Times New Roman" w:hAnsi="Times New Roman" w:cs="Times New Roman" w:eastAsiaTheme="minorEastAsia"/>
                <w:color w:val="auto"/>
                <w:kern w:val="0"/>
                <w:sz w:val="18"/>
                <w:szCs w:val="18"/>
                <w:highlight w:val="none"/>
              </w:rPr>
            </w:pPr>
          </w:p>
        </w:tc>
        <w:tc>
          <w:tcPr>
            <w:tcW w:w="411" w:type="pct"/>
            <w:gridSpan w:val="2"/>
            <w:vMerge w:val="continue"/>
            <w:shd w:val="clear" w:color="auto" w:fill="auto"/>
            <w:tcMar>
              <w:top w:w="15" w:type="dxa"/>
              <w:left w:w="15" w:type="dxa"/>
              <w:right w:w="15" w:type="dxa"/>
            </w:tcMar>
            <w:vAlign w:val="center"/>
          </w:tcPr>
          <w:p w14:paraId="6F52C457">
            <w:pPr>
              <w:shd w:val="clear"/>
              <w:jc w:val="left"/>
              <w:rPr>
                <w:rFonts w:hint="default" w:ascii="Times New Roman" w:hAnsi="Times New Roman" w:cs="Times New Roman" w:eastAsiaTheme="minorEastAsia"/>
                <w:color w:val="auto"/>
                <w:kern w:val="0"/>
                <w:sz w:val="18"/>
                <w:szCs w:val="18"/>
                <w:highlight w:val="none"/>
              </w:rPr>
            </w:pPr>
          </w:p>
        </w:tc>
        <w:tc>
          <w:tcPr>
            <w:tcW w:w="1310" w:type="pct"/>
            <w:gridSpan w:val="2"/>
            <w:vMerge w:val="continue"/>
            <w:shd w:val="clear" w:color="auto" w:fill="auto"/>
            <w:tcMar>
              <w:top w:w="15" w:type="dxa"/>
              <w:left w:w="15" w:type="dxa"/>
              <w:right w:w="15" w:type="dxa"/>
            </w:tcMar>
            <w:vAlign w:val="center"/>
          </w:tcPr>
          <w:p w14:paraId="4C0D91CF">
            <w:pPr>
              <w:shd w:val="clear"/>
              <w:jc w:val="left"/>
              <w:rPr>
                <w:rFonts w:hint="default" w:ascii="Times New Roman" w:hAnsi="Times New Roman" w:cs="Times New Roman" w:eastAsiaTheme="minorEastAsia"/>
                <w:color w:val="auto"/>
                <w:kern w:val="0"/>
                <w:sz w:val="18"/>
                <w:szCs w:val="18"/>
                <w:highlight w:val="none"/>
              </w:rPr>
            </w:pPr>
          </w:p>
        </w:tc>
        <w:tc>
          <w:tcPr>
            <w:tcW w:w="1314" w:type="pct"/>
            <w:gridSpan w:val="2"/>
            <w:vMerge w:val="continue"/>
            <w:shd w:val="clear" w:color="auto" w:fill="auto"/>
            <w:tcMar>
              <w:top w:w="15" w:type="dxa"/>
              <w:left w:w="15" w:type="dxa"/>
              <w:right w:w="15" w:type="dxa"/>
            </w:tcMar>
            <w:vAlign w:val="center"/>
          </w:tcPr>
          <w:p w14:paraId="19A2DABB">
            <w:pPr>
              <w:shd w:val="clear"/>
              <w:jc w:val="left"/>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7EE4CA97">
            <w:pPr>
              <w:shd w:val="clear"/>
              <w:jc w:val="left"/>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042036AD">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位于1类声环境功能区</w:t>
            </w:r>
          </w:p>
        </w:tc>
        <w:tc>
          <w:tcPr>
            <w:tcW w:w="545" w:type="pct"/>
            <w:gridSpan w:val="2"/>
            <w:shd w:val="clear" w:color="auto" w:fill="auto"/>
            <w:tcMar>
              <w:top w:w="15" w:type="dxa"/>
              <w:left w:w="15" w:type="dxa"/>
              <w:right w:w="15" w:type="dxa"/>
            </w:tcMar>
            <w:vAlign w:val="center"/>
          </w:tcPr>
          <w:p w14:paraId="3C6340FF">
            <w:pPr>
              <w:shd w:val="clear"/>
              <w:jc w:val="left"/>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处</w:t>
            </w:r>
            <w:r>
              <w:rPr>
                <w:rFonts w:hint="default" w:ascii="Times New Roman" w:hAnsi="Times New Roman" w:cs="Times New Roman" w:eastAsiaTheme="minorEastAsia"/>
                <w:color w:val="auto"/>
                <w:kern w:val="0"/>
                <w:sz w:val="18"/>
                <w:szCs w:val="18"/>
                <w:highlight w:val="none"/>
                <w:lang w:val="en-US" w:eastAsia="zh-CN"/>
              </w:rPr>
              <w:t>3.65万元以上5万元以下罚款；拒不改正的，处15.5万元以上20万元以下罚款</w:t>
            </w:r>
          </w:p>
          <w:p w14:paraId="47BF10A8">
            <w:pPr>
              <w:shd w:val="clear"/>
              <w:jc w:val="left"/>
              <w:rPr>
                <w:rFonts w:hint="default" w:ascii="Times New Roman" w:hAnsi="Times New Roman" w:cs="Times New Roman" w:eastAsiaTheme="minorEastAsia"/>
                <w:color w:val="auto"/>
                <w:kern w:val="0"/>
                <w:sz w:val="18"/>
                <w:szCs w:val="18"/>
                <w:highlight w:val="none"/>
                <w:lang w:val="en-US" w:eastAsia="zh-CN"/>
              </w:rPr>
            </w:pPr>
          </w:p>
        </w:tc>
        <w:tc>
          <w:tcPr>
            <w:tcW w:w="200" w:type="pct"/>
            <w:gridSpan w:val="2"/>
            <w:vMerge w:val="continue"/>
            <w:shd w:val="clear" w:color="auto" w:fill="auto"/>
            <w:tcMar>
              <w:top w:w="15" w:type="dxa"/>
              <w:left w:w="15" w:type="dxa"/>
              <w:right w:w="15" w:type="dxa"/>
            </w:tcMar>
            <w:vAlign w:val="center"/>
          </w:tcPr>
          <w:p w14:paraId="2BC0895F">
            <w:pPr>
              <w:shd w:val="clear"/>
              <w:jc w:val="left"/>
              <w:rPr>
                <w:rFonts w:hint="default" w:ascii="Times New Roman" w:hAnsi="Times New Roman" w:cs="Times New Roman" w:eastAsiaTheme="minorEastAsia"/>
                <w:color w:val="auto"/>
                <w:kern w:val="0"/>
                <w:sz w:val="18"/>
                <w:szCs w:val="18"/>
                <w:highlight w:val="none"/>
              </w:rPr>
            </w:pPr>
          </w:p>
        </w:tc>
        <w:tc>
          <w:tcPr>
            <w:tcW w:w="390" w:type="pct"/>
            <w:gridSpan w:val="3"/>
            <w:vMerge w:val="continue"/>
            <w:shd w:val="clear" w:color="auto" w:fill="auto"/>
            <w:tcMar>
              <w:top w:w="15" w:type="dxa"/>
              <w:left w:w="15" w:type="dxa"/>
              <w:right w:w="15" w:type="dxa"/>
            </w:tcMar>
            <w:vAlign w:val="center"/>
          </w:tcPr>
          <w:p w14:paraId="2891BA5A">
            <w:pPr>
              <w:shd w:val="clear"/>
              <w:jc w:val="left"/>
              <w:rPr>
                <w:rFonts w:hint="default" w:ascii="Times New Roman" w:hAnsi="Times New Roman" w:cs="Times New Roman" w:eastAsiaTheme="minorEastAsia"/>
                <w:color w:val="auto"/>
                <w:kern w:val="0"/>
                <w:sz w:val="18"/>
                <w:szCs w:val="18"/>
                <w:highlight w:val="none"/>
              </w:rPr>
            </w:pPr>
          </w:p>
        </w:tc>
      </w:tr>
      <w:tr w14:paraId="2C5D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500" w:hRule="atLeast"/>
        </w:trPr>
        <w:tc>
          <w:tcPr>
            <w:tcW w:w="4999" w:type="pct"/>
            <w:gridSpan w:val="19"/>
            <w:shd w:val="clear" w:color="auto" w:fill="auto"/>
            <w:tcMar>
              <w:top w:w="15" w:type="dxa"/>
              <w:left w:w="15" w:type="dxa"/>
              <w:right w:w="15" w:type="dxa"/>
            </w:tcMar>
            <w:vAlign w:val="center"/>
          </w:tcPr>
          <w:p w14:paraId="2320BEFD">
            <w:pPr>
              <w:pStyle w:val="2"/>
              <w:shd w:val="clear"/>
              <w:jc w:val="center"/>
              <w:rPr>
                <w:rFonts w:hint="default" w:ascii="Times New Roman" w:hAnsi="Times New Roman" w:cs="Times New Roman" w:eastAsiaTheme="minorEastAsia"/>
                <w:color w:val="auto"/>
                <w:szCs w:val="18"/>
                <w:highlight w:val="none"/>
              </w:rPr>
            </w:pPr>
            <w:bookmarkStart w:id="49" w:name="_Toc5420"/>
            <w:bookmarkStart w:id="50" w:name="_Toc1071"/>
            <w:bookmarkStart w:id="51" w:name="_Toc26829"/>
            <w:bookmarkStart w:id="52" w:name="_Toc13901"/>
            <w:bookmarkStart w:id="53" w:name="_Toc98056725"/>
            <w:bookmarkStart w:id="54" w:name="_Toc704205113"/>
            <w:bookmarkStart w:id="55" w:name="_Toc2137341694"/>
            <w:bookmarkStart w:id="56" w:name="_Toc175687074"/>
            <w:bookmarkStart w:id="57" w:name="_Toc21175"/>
            <w:bookmarkStart w:id="58" w:name="_Toc3407"/>
            <w:bookmarkStart w:id="59" w:name="_Toc15851"/>
            <w:bookmarkStart w:id="60" w:name="_Toc318649656"/>
            <w:bookmarkStart w:id="61" w:name="_Toc21106"/>
            <w:bookmarkStart w:id="62" w:name="_Toc989395000"/>
            <w:bookmarkStart w:id="63" w:name="_Toc867955562"/>
            <w:bookmarkStart w:id="64" w:name="_Toc743687555"/>
            <w:bookmarkStart w:id="65" w:name="_Toc25173"/>
            <w:bookmarkStart w:id="66" w:name="_Toc937262890"/>
            <w:bookmarkStart w:id="67" w:name="_Toc714079456"/>
            <w:bookmarkStart w:id="68" w:name="_Toc2063823396"/>
            <w:bookmarkStart w:id="69" w:name="_Toc635856454"/>
            <w:bookmarkStart w:id="70" w:name="_Toc1833022796"/>
            <w:bookmarkStart w:id="71" w:name="_Toc917259859"/>
            <w:bookmarkStart w:id="72" w:name="_Toc1177419109"/>
            <w:r>
              <w:rPr>
                <w:rFonts w:hint="default" w:ascii="Times New Roman" w:hAnsi="Times New Roman" w:eastAsiaTheme="minorEastAsia" w:cstheme="minorBidi"/>
                <w:kern w:val="2"/>
                <w:sz w:val="21"/>
                <w:szCs w:val="24"/>
                <w:lang w:val="en-US" w:eastAsia="zh-CN" w:bidi="ar-SA"/>
              </w:rPr>
              <w:t>三、</w:t>
            </w:r>
            <w:bookmarkEnd w:id="49"/>
            <w:bookmarkEnd w:id="50"/>
            <w:bookmarkEnd w:id="51"/>
            <w:bookmarkEnd w:id="52"/>
            <w:r>
              <w:rPr>
                <w:rFonts w:hint="default" w:ascii="Times New Roman" w:hAnsi="Times New Roman" w:eastAsiaTheme="minorEastAsia" w:cstheme="minorBidi"/>
                <w:kern w:val="2"/>
                <w:sz w:val="21"/>
                <w:szCs w:val="24"/>
                <w:lang w:val="en-US" w:eastAsia="zh-CN" w:bidi="ar-SA"/>
              </w:rPr>
              <w:t>市场监督管理（第96项，共1项）</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tc>
      </w:tr>
      <w:tr w14:paraId="1A69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365" w:hRule="atLeast"/>
        </w:trPr>
        <w:tc>
          <w:tcPr>
            <w:tcW w:w="116" w:type="pct"/>
            <w:vMerge w:val="restart"/>
            <w:shd w:val="clear" w:color="auto" w:fill="auto"/>
            <w:tcMar>
              <w:top w:w="15" w:type="dxa"/>
              <w:left w:w="15" w:type="dxa"/>
              <w:right w:w="15" w:type="dxa"/>
            </w:tcMar>
            <w:vAlign w:val="center"/>
          </w:tcPr>
          <w:p w14:paraId="5F49094A">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96</w:t>
            </w:r>
          </w:p>
        </w:tc>
        <w:tc>
          <w:tcPr>
            <w:tcW w:w="411" w:type="pct"/>
            <w:gridSpan w:val="2"/>
            <w:vMerge w:val="restart"/>
            <w:shd w:val="clear" w:color="auto" w:fill="auto"/>
            <w:tcMar>
              <w:top w:w="15" w:type="dxa"/>
              <w:left w:w="15" w:type="dxa"/>
              <w:right w:w="15" w:type="dxa"/>
            </w:tcMar>
            <w:vAlign w:val="center"/>
          </w:tcPr>
          <w:p w14:paraId="2C962B25">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无照商贩乱摆卖行为</w:t>
            </w:r>
          </w:p>
        </w:tc>
        <w:tc>
          <w:tcPr>
            <w:tcW w:w="1310" w:type="pct"/>
            <w:gridSpan w:val="2"/>
            <w:vMerge w:val="restart"/>
            <w:shd w:val="clear" w:color="auto" w:fill="auto"/>
            <w:tcMar>
              <w:top w:w="15" w:type="dxa"/>
              <w:left w:w="15" w:type="dxa"/>
              <w:right w:w="15" w:type="dxa"/>
            </w:tcMar>
            <w:vAlign w:val="center"/>
          </w:tcPr>
          <w:p w14:paraId="323B9F2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《无证无照经营查处办法》第二条：“任何单位或者个人不得违反法律、法规、国务院决定的规定，从事无证无照经营。”</w:t>
            </w:r>
          </w:p>
        </w:tc>
        <w:tc>
          <w:tcPr>
            <w:tcW w:w="1314" w:type="pct"/>
            <w:gridSpan w:val="2"/>
            <w:vMerge w:val="restart"/>
            <w:shd w:val="clear" w:color="auto" w:fill="auto"/>
            <w:tcMar>
              <w:top w:w="15" w:type="dxa"/>
              <w:left w:w="15" w:type="dxa"/>
              <w:right w:w="15" w:type="dxa"/>
            </w:tcMar>
            <w:vAlign w:val="center"/>
          </w:tcPr>
          <w:p w14:paraId="134FC367">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无证无照经营查处办法》第十三条：“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177" w:type="pct"/>
            <w:gridSpan w:val="2"/>
            <w:shd w:val="clear" w:color="auto" w:fill="auto"/>
            <w:tcMar>
              <w:top w:w="15" w:type="dxa"/>
              <w:left w:w="15" w:type="dxa"/>
              <w:right w:w="15" w:type="dxa"/>
            </w:tcMar>
            <w:vAlign w:val="center"/>
          </w:tcPr>
          <w:p w14:paraId="3067460F">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483" w:type="pct"/>
            <w:gridSpan w:val="2"/>
            <w:shd w:val="clear" w:color="auto" w:fill="auto"/>
            <w:tcMar>
              <w:top w:w="15" w:type="dxa"/>
              <w:left w:w="15" w:type="dxa"/>
              <w:right w:w="15" w:type="dxa"/>
            </w:tcMar>
            <w:vAlign w:val="center"/>
          </w:tcPr>
          <w:p w14:paraId="00BC276A">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经营面积10平方米</w:t>
            </w:r>
            <w:r>
              <w:rPr>
                <w:rFonts w:hint="default" w:ascii="Times New Roman" w:hAnsi="Times New Roman" w:cs="Times New Roman" w:eastAsiaTheme="minorEastAsia"/>
                <w:color w:val="auto"/>
                <w:kern w:val="0"/>
                <w:sz w:val="18"/>
                <w:szCs w:val="18"/>
                <w:highlight w:val="none"/>
                <w:lang w:eastAsia="zh-CN"/>
              </w:rPr>
              <w:t>以下</w:t>
            </w:r>
          </w:p>
        </w:tc>
        <w:tc>
          <w:tcPr>
            <w:tcW w:w="594" w:type="pct"/>
            <w:gridSpan w:val="3"/>
            <w:shd w:val="clear" w:color="auto" w:fill="auto"/>
            <w:tcMar>
              <w:top w:w="15" w:type="dxa"/>
              <w:left w:w="15" w:type="dxa"/>
              <w:right w:w="15" w:type="dxa"/>
            </w:tcMar>
            <w:vAlign w:val="center"/>
          </w:tcPr>
          <w:p w14:paraId="51F9FE5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没收违法所得，并处</w:t>
            </w:r>
            <w:r>
              <w:rPr>
                <w:rFonts w:hint="default" w:ascii="Times New Roman" w:hAnsi="Times New Roman" w:cs="Times New Roman" w:eastAsiaTheme="minorEastAsia"/>
                <w:color w:val="auto"/>
                <w:kern w:val="0"/>
                <w:sz w:val="18"/>
                <w:szCs w:val="18"/>
                <w:highlight w:val="none"/>
                <w:lang w:val="en-US" w:eastAsia="zh-CN"/>
              </w:rPr>
              <w:t>3000</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restart"/>
            <w:shd w:val="clear" w:color="auto" w:fill="auto"/>
            <w:tcMar>
              <w:top w:w="15" w:type="dxa"/>
              <w:left w:w="15" w:type="dxa"/>
              <w:right w:w="15" w:type="dxa"/>
            </w:tcMar>
            <w:vAlign w:val="center"/>
          </w:tcPr>
          <w:p w14:paraId="210B795A">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责令停止违法行为</w:t>
            </w:r>
          </w:p>
          <w:p w14:paraId="1DA28158">
            <w:pPr>
              <w:widowControl/>
              <w:shd w:val="clear"/>
              <w:jc w:val="left"/>
              <w:textAlignment w:val="center"/>
              <w:rPr>
                <w:rFonts w:hint="default" w:ascii="Times New Roman" w:hAnsi="Times New Roman" w:cs="Times New Roman" w:eastAsiaTheme="minorEastAsia"/>
                <w:color w:val="auto"/>
                <w:sz w:val="18"/>
                <w:szCs w:val="18"/>
                <w:highlight w:val="none"/>
              </w:rPr>
            </w:pPr>
          </w:p>
          <w:p w14:paraId="74FD43E6">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21CA4A02">
            <w:pPr>
              <w:shd w:val="clear"/>
              <w:jc w:val="left"/>
              <w:rPr>
                <w:rFonts w:hint="default" w:ascii="Times New Roman" w:hAnsi="Times New Roman" w:cs="Times New Roman" w:eastAsiaTheme="minorEastAsia"/>
                <w:color w:val="auto"/>
                <w:sz w:val="18"/>
                <w:szCs w:val="18"/>
                <w:highlight w:val="none"/>
                <w:lang w:eastAsia="zh-CN"/>
              </w:rPr>
            </w:pPr>
          </w:p>
        </w:tc>
      </w:tr>
      <w:tr w14:paraId="43F7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365" w:hRule="atLeast"/>
        </w:trPr>
        <w:tc>
          <w:tcPr>
            <w:tcW w:w="116" w:type="pct"/>
            <w:vMerge w:val="continue"/>
            <w:shd w:val="clear" w:color="auto" w:fill="auto"/>
            <w:tcMar>
              <w:top w:w="15" w:type="dxa"/>
              <w:left w:w="15" w:type="dxa"/>
              <w:right w:w="15" w:type="dxa"/>
            </w:tcMar>
            <w:vAlign w:val="center"/>
          </w:tcPr>
          <w:p w14:paraId="62A0EC2B">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68AF2B3D">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792CDABB">
            <w:pPr>
              <w:shd w:val="clear"/>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65868379">
            <w:pPr>
              <w:shd w:val="clear"/>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2C5354FF">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483" w:type="pct"/>
            <w:gridSpan w:val="2"/>
            <w:shd w:val="clear" w:color="auto" w:fill="auto"/>
            <w:tcMar>
              <w:top w:w="15" w:type="dxa"/>
              <w:left w:w="15" w:type="dxa"/>
              <w:right w:w="15" w:type="dxa"/>
            </w:tcMar>
            <w:vAlign w:val="center"/>
          </w:tcPr>
          <w:p w14:paraId="659A56E7">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经营面积10平方米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30平方米</w:t>
            </w:r>
            <w:r>
              <w:rPr>
                <w:rFonts w:hint="default" w:ascii="Times New Roman" w:hAnsi="Times New Roman" w:cs="Times New Roman" w:eastAsiaTheme="minorEastAsia"/>
                <w:color w:val="auto"/>
                <w:kern w:val="0"/>
                <w:sz w:val="18"/>
                <w:szCs w:val="18"/>
                <w:highlight w:val="none"/>
                <w:lang w:eastAsia="zh-CN"/>
              </w:rPr>
              <w:t>以下</w:t>
            </w:r>
          </w:p>
        </w:tc>
        <w:tc>
          <w:tcPr>
            <w:tcW w:w="594" w:type="pct"/>
            <w:gridSpan w:val="3"/>
            <w:shd w:val="clear" w:color="auto" w:fill="auto"/>
            <w:tcMar>
              <w:top w:w="15" w:type="dxa"/>
              <w:left w:w="15" w:type="dxa"/>
              <w:right w:w="15" w:type="dxa"/>
            </w:tcMar>
            <w:vAlign w:val="center"/>
          </w:tcPr>
          <w:p w14:paraId="1A081BA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没收违法所得，并处</w:t>
            </w:r>
            <w:r>
              <w:rPr>
                <w:rFonts w:hint="default" w:ascii="Times New Roman" w:hAnsi="Times New Roman" w:cs="Times New Roman" w:eastAsiaTheme="minorEastAsia"/>
                <w:color w:val="auto"/>
                <w:kern w:val="0"/>
                <w:sz w:val="18"/>
                <w:szCs w:val="18"/>
                <w:highlight w:val="none"/>
                <w:lang w:val="en-US" w:eastAsia="zh-CN"/>
              </w:rPr>
              <w:t>3000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7000</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01B7358B">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674DBA73">
            <w:pPr>
              <w:shd w:val="clear"/>
              <w:jc w:val="left"/>
              <w:rPr>
                <w:rFonts w:hint="default" w:ascii="Times New Roman" w:hAnsi="Times New Roman" w:cs="Times New Roman" w:eastAsiaTheme="minorEastAsia"/>
                <w:color w:val="auto"/>
                <w:sz w:val="18"/>
                <w:szCs w:val="18"/>
                <w:highlight w:val="none"/>
              </w:rPr>
            </w:pPr>
          </w:p>
        </w:tc>
      </w:tr>
      <w:tr w14:paraId="1AC9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365" w:hRule="atLeast"/>
        </w:trPr>
        <w:tc>
          <w:tcPr>
            <w:tcW w:w="116" w:type="pct"/>
            <w:vMerge w:val="continue"/>
            <w:shd w:val="clear" w:color="auto" w:fill="auto"/>
            <w:tcMar>
              <w:top w:w="15" w:type="dxa"/>
              <w:left w:w="15" w:type="dxa"/>
              <w:right w:w="15" w:type="dxa"/>
            </w:tcMar>
            <w:vAlign w:val="center"/>
          </w:tcPr>
          <w:p w14:paraId="278DFF21">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57698ECB">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3AF75BF9">
            <w:pPr>
              <w:shd w:val="clear"/>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2494E2E0">
            <w:pPr>
              <w:shd w:val="clear"/>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22A76A44">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br w:type="textWrapping"/>
            </w:r>
            <w:r>
              <w:rPr>
                <w:rFonts w:hint="eastAsia" w:ascii="Times New Roman" w:hAnsi="Times New Roman" w:cs="Times New Roman"/>
                <w:color w:val="auto"/>
                <w:kern w:val="0"/>
                <w:sz w:val="18"/>
                <w:szCs w:val="18"/>
                <w:highlight w:val="none"/>
                <w:lang w:eastAsia="zh-CN"/>
              </w:rPr>
              <w:t>严重</w:t>
            </w:r>
          </w:p>
        </w:tc>
        <w:tc>
          <w:tcPr>
            <w:tcW w:w="483" w:type="pct"/>
            <w:gridSpan w:val="2"/>
            <w:shd w:val="clear" w:color="auto" w:fill="auto"/>
            <w:tcMar>
              <w:top w:w="15" w:type="dxa"/>
              <w:left w:w="15" w:type="dxa"/>
              <w:right w:w="15" w:type="dxa"/>
            </w:tcMar>
            <w:vAlign w:val="center"/>
          </w:tcPr>
          <w:p w14:paraId="5FA2976E">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经营面积30平方米</w:t>
            </w:r>
            <w:r>
              <w:rPr>
                <w:rFonts w:hint="default" w:ascii="Times New Roman" w:hAnsi="Times New Roman" w:cs="Times New Roman" w:eastAsiaTheme="minorEastAsia"/>
                <w:color w:val="auto"/>
                <w:kern w:val="0"/>
                <w:sz w:val="18"/>
                <w:szCs w:val="18"/>
                <w:highlight w:val="none"/>
                <w:lang w:eastAsia="zh-CN"/>
              </w:rPr>
              <w:t>以上</w:t>
            </w:r>
          </w:p>
        </w:tc>
        <w:tc>
          <w:tcPr>
            <w:tcW w:w="594" w:type="pct"/>
            <w:gridSpan w:val="3"/>
            <w:shd w:val="clear" w:color="auto" w:fill="auto"/>
            <w:tcMar>
              <w:top w:w="15" w:type="dxa"/>
              <w:left w:w="15" w:type="dxa"/>
              <w:right w:w="15" w:type="dxa"/>
            </w:tcMar>
            <w:vAlign w:val="center"/>
          </w:tcPr>
          <w:p w14:paraId="090ABAE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没收违法所得，并处</w:t>
            </w:r>
            <w:r>
              <w:rPr>
                <w:rFonts w:hint="default" w:ascii="Times New Roman" w:hAnsi="Times New Roman" w:cs="Times New Roman" w:eastAsiaTheme="minorEastAsia"/>
                <w:color w:val="auto"/>
                <w:kern w:val="0"/>
                <w:sz w:val="18"/>
                <w:szCs w:val="18"/>
                <w:highlight w:val="none"/>
                <w:lang w:val="en-US" w:eastAsia="zh-CN"/>
              </w:rPr>
              <w:t>7000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4C8E8EE8">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53C8BABE">
            <w:pPr>
              <w:shd w:val="clear"/>
              <w:jc w:val="left"/>
              <w:rPr>
                <w:rFonts w:hint="default" w:ascii="Times New Roman" w:hAnsi="Times New Roman" w:cs="Times New Roman" w:eastAsiaTheme="minorEastAsia"/>
                <w:color w:val="auto"/>
                <w:sz w:val="18"/>
                <w:szCs w:val="18"/>
                <w:highlight w:val="none"/>
              </w:rPr>
            </w:pPr>
          </w:p>
        </w:tc>
      </w:tr>
      <w:tr w14:paraId="74D0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603" w:hRule="atLeast"/>
        </w:trPr>
        <w:tc>
          <w:tcPr>
            <w:tcW w:w="4999" w:type="pct"/>
            <w:gridSpan w:val="19"/>
            <w:shd w:val="clear" w:color="auto" w:fill="auto"/>
            <w:tcMar>
              <w:top w:w="15" w:type="dxa"/>
              <w:left w:w="15" w:type="dxa"/>
              <w:right w:w="15" w:type="dxa"/>
            </w:tcMar>
            <w:vAlign w:val="center"/>
          </w:tcPr>
          <w:p w14:paraId="7D4B2DC1">
            <w:pPr>
              <w:pStyle w:val="2"/>
              <w:shd w:val="clear"/>
              <w:rPr>
                <w:rFonts w:hint="default" w:ascii="Times New Roman" w:hAnsi="Times New Roman" w:cs="Times New Roman" w:eastAsiaTheme="minorEastAsia"/>
                <w:color w:val="auto"/>
                <w:szCs w:val="18"/>
                <w:highlight w:val="none"/>
              </w:rPr>
            </w:pPr>
            <w:bookmarkStart w:id="73" w:name="_Toc3586"/>
            <w:bookmarkStart w:id="74" w:name="_Toc29572"/>
            <w:bookmarkStart w:id="75" w:name="_Toc25578"/>
            <w:bookmarkStart w:id="76" w:name="_Toc1003247720"/>
            <w:bookmarkStart w:id="77" w:name="_Toc167320041"/>
            <w:bookmarkStart w:id="78" w:name="_Toc12612"/>
            <w:bookmarkStart w:id="79" w:name="_Toc13553"/>
            <w:bookmarkStart w:id="80" w:name="_Toc32172"/>
            <w:bookmarkStart w:id="81" w:name="_Toc545036548"/>
            <w:bookmarkStart w:id="82" w:name="_Toc7900"/>
            <w:bookmarkStart w:id="83" w:name="_Toc15682"/>
            <w:bookmarkStart w:id="84" w:name="_Toc13645"/>
            <w:bookmarkStart w:id="85" w:name="_Toc87249409"/>
            <w:bookmarkStart w:id="86" w:name="_Toc390543435"/>
            <w:bookmarkStart w:id="87" w:name="_Toc2116011922"/>
            <w:bookmarkStart w:id="88" w:name="_Toc1751912455"/>
            <w:bookmarkStart w:id="89" w:name="_Toc1622114258"/>
            <w:bookmarkStart w:id="90" w:name="_Toc2101221340"/>
            <w:bookmarkStart w:id="91" w:name="_Toc307355739"/>
            <w:bookmarkStart w:id="92" w:name="_Toc138958088"/>
            <w:bookmarkStart w:id="93" w:name="_Toc1452633733"/>
            <w:bookmarkStart w:id="94" w:name="_Toc1644946213"/>
            <w:bookmarkStart w:id="95" w:name="_Toc336740543"/>
            <w:bookmarkStart w:id="96" w:name="_Toc1204442690"/>
            <w:r>
              <w:rPr>
                <w:rFonts w:hint="default" w:ascii="Times New Roman" w:hAnsi="Times New Roman" w:eastAsiaTheme="minorEastAsia"/>
                <w:lang w:eastAsia="zh-CN"/>
              </w:rPr>
              <w:t>四</w:t>
            </w:r>
            <w:r>
              <w:rPr>
                <w:rFonts w:hint="default" w:ascii="Times New Roman" w:hAnsi="Times New Roman" w:eastAsiaTheme="minorEastAsia"/>
              </w:rPr>
              <w:t>、市政管理（第</w:t>
            </w:r>
            <w:r>
              <w:rPr>
                <w:rFonts w:hint="default" w:ascii="Times New Roman" w:hAnsi="Times New Roman" w:eastAsiaTheme="minorEastAsia"/>
                <w:lang w:val="en-US" w:eastAsia="zh-CN"/>
              </w:rPr>
              <w:t>97</w:t>
            </w:r>
            <w:r>
              <w:rPr>
                <w:rFonts w:hint="default" w:ascii="Times New Roman" w:hAnsi="Times New Roman" w:eastAsiaTheme="minorEastAsia"/>
              </w:rPr>
              <w:t>项-第</w:t>
            </w:r>
            <w:r>
              <w:rPr>
                <w:rFonts w:hint="default" w:ascii="Times New Roman" w:hAnsi="Times New Roman" w:eastAsiaTheme="minorEastAsia"/>
                <w:lang w:val="en-US" w:eastAsia="zh-CN"/>
              </w:rPr>
              <w:t>118</w:t>
            </w:r>
            <w:r>
              <w:rPr>
                <w:rFonts w:hint="default" w:ascii="Times New Roman" w:hAnsi="Times New Roman" w:eastAsiaTheme="minorEastAsia"/>
              </w:rPr>
              <w:t>项，共</w:t>
            </w:r>
            <w:r>
              <w:rPr>
                <w:rFonts w:hint="default" w:ascii="Times New Roman" w:hAnsi="Times New Roman" w:eastAsiaTheme="minorEastAsia"/>
                <w:lang w:val="en-US" w:eastAsia="zh-CN"/>
              </w:rPr>
              <w:t>22</w:t>
            </w:r>
            <w:r>
              <w:rPr>
                <w:rFonts w:hint="default" w:ascii="Times New Roman" w:hAnsi="Times New Roman" w:eastAsiaTheme="minorEastAsia"/>
              </w:rPr>
              <w:t>项</w:t>
            </w:r>
            <w:bookmarkEnd w:id="73"/>
            <w:bookmarkEnd w:id="74"/>
            <w:bookmarkEnd w:id="75"/>
            <w:r>
              <w:rPr>
                <w:rFonts w:hint="default" w:ascii="Times New Roman" w:hAnsi="Times New Roman" w:eastAsiaTheme="minorEastAsia"/>
              </w:rPr>
              <w:t>）</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tc>
      </w:tr>
      <w:tr w14:paraId="2213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500" w:hRule="atLeast"/>
        </w:trPr>
        <w:tc>
          <w:tcPr>
            <w:tcW w:w="116" w:type="pct"/>
            <w:vMerge w:val="restart"/>
            <w:shd w:val="clear" w:color="auto" w:fill="auto"/>
            <w:tcMar>
              <w:top w:w="15" w:type="dxa"/>
              <w:left w:w="15" w:type="dxa"/>
              <w:right w:w="15" w:type="dxa"/>
            </w:tcMar>
            <w:vAlign w:val="center"/>
          </w:tcPr>
          <w:p w14:paraId="175F6582">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97</w:t>
            </w:r>
          </w:p>
        </w:tc>
        <w:tc>
          <w:tcPr>
            <w:tcW w:w="411" w:type="pct"/>
            <w:gridSpan w:val="2"/>
            <w:vMerge w:val="restart"/>
            <w:shd w:val="clear" w:color="auto" w:fill="auto"/>
            <w:tcMar>
              <w:top w:w="15" w:type="dxa"/>
              <w:left w:w="15" w:type="dxa"/>
              <w:right w:w="15" w:type="dxa"/>
            </w:tcMar>
            <w:vAlign w:val="center"/>
          </w:tcPr>
          <w:p w14:paraId="0C039B59">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未取得设计、施工资格或者未按照资质等级承担城市道路的设计、施工任务</w:t>
            </w:r>
            <w:r>
              <w:rPr>
                <w:rFonts w:hint="default" w:ascii="Times New Roman" w:hAnsi="Times New Roman" w:cs="Times New Roman" w:eastAsiaTheme="minorEastAsia"/>
                <w:color w:val="auto"/>
                <w:kern w:val="0"/>
                <w:sz w:val="18"/>
                <w:szCs w:val="18"/>
                <w:highlight w:val="none"/>
                <w:lang w:eastAsia="zh-CN"/>
              </w:rPr>
              <w:t>的</w:t>
            </w:r>
            <w:r>
              <w:rPr>
                <w:rFonts w:hint="default" w:ascii="Times New Roman" w:hAnsi="Times New Roman" w:cs="Times New Roman" w:eastAsiaTheme="minorEastAsia"/>
                <w:color w:val="auto"/>
                <w:kern w:val="0"/>
                <w:sz w:val="18"/>
                <w:szCs w:val="18"/>
                <w:highlight w:val="none"/>
              </w:rPr>
              <w:t>〔车行道、桥梁设施（含人行天桥、地下通道）除外〕</w:t>
            </w:r>
          </w:p>
        </w:tc>
        <w:tc>
          <w:tcPr>
            <w:tcW w:w="1310" w:type="pct"/>
            <w:gridSpan w:val="2"/>
            <w:vMerge w:val="restart"/>
            <w:shd w:val="clear" w:color="auto" w:fill="auto"/>
            <w:tcMar>
              <w:top w:w="15" w:type="dxa"/>
              <w:left w:w="15" w:type="dxa"/>
              <w:right w:w="15" w:type="dxa"/>
            </w:tcMar>
            <w:vAlign w:val="center"/>
          </w:tcPr>
          <w:p w14:paraId="34758FF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《城市道路管理条例》第十六条：“承担城市道路设计、施工的单位，应当具有相应的资质等级，并按照资质等级承担相应的城市道路的设计、施工任务。”</w:t>
            </w:r>
          </w:p>
        </w:tc>
        <w:tc>
          <w:tcPr>
            <w:tcW w:w="1314" w:type="pct"/>
            <w:gridSpan w:val="2"/>
            <w:vMerge w:val="restart"/>
            <w:shd w:val="clear" w:color="auto" w:fill="auto"/>
            <w:tcMar>
              <w:top w:w="15" w:type="dxa"/>
              <w:left w:w="15" w:type="dxa"/>
              <w:right w:w="15" w:type="dxa"/>
            </w:tcMar>
            <w:vAlign w:val="center"/>
          </w:tcPr>
          <w:p w14:paraId="5FDB089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《城市道路管理条例》第三十九条</w:t>
            </w:r>
            <w:r>
              <w:rPr>
                <w:rFonts w:hint="default" w:ascii="Times New Roman" w:hAnsi="Times New Roman" w:cs="Times New Roman" w:eastAsiaTheme="minorEastAsia"/>
                <w:color w:val="auto"/>
                <w:kern w:val="0"/>
                <w:sz w:val="18"/>
                <w:szCs w:val="18"/>
                <w:highlight w:val="none"/>
                <w:lang w:eastAsia="zh-CN"/>
              </w:rPr>
              <w:t>第一项</w:t>
            </w:r>
            <w:r>
              <w:rPr>
                <w:rFonts w:hint="default" w:ascii="Times New Roman" w:hAnsi="Times New Roman" w:cs="Times New Roman" w:eastAsiaTheme="minorEastAsia"/>
                <w:color w:val="auto"/>
                <w:kern w:val="0"/>
                <w:sz w:val="18"/>
                <w:szCs w:val="18"/>
                <w:highlight w:val="none"/>
              </w:rPr>
              <w:t>：“违反本条例的规定，有下列行为之一的，由市政工程行政主管部门责令停止设计、施工，限期改正，可以并处3万元以下的罚款；已经取得设计、施工资格证书，情节严重的，提请原发证机关吊销设计、施工资格证书：（一）未取得设计、施工资格或者未按照资质等级承担城市道路的设计、施工任务的；”</w:t>
            </w:r>
          </w:p>
        </w:tc>
        <w:tc>
          <w:tcPr>
            <w:tcW w:w="177" w:type="pct"/>
            <w:gridSpan w:val="2"/>
            <w:shd w:val="clear" w:color="auto" w:fill="auto"/>
            <w:tcMar>
              <w:top w:w="15" w:type="dxa"/>
              <w:left w:w="15" w:type="dxa"/>
              <w:right w:w="15" w:type="dxa"/>
            </w:tcMar>
            <w:vAlign w:val="center"/>
          </w:tcPr>
          <w:p w14:paraId="18733A97">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483" w:type="pct"/>
            <w:gridSpan w:val="2"/>
            <w:shd w:val="clear" w:color="auto" w:fill="auto"/>
            <w:tcMar>
              <w:top w:w="15" w:type="dxa"/>
              <w:left w:w="15" w:type="dxa"/>
              <w:right w:w="15" w:type="dxa"/>
            </w:tcMar>
            <w:vAlign w:val="center"/>
          </w:tcPr>
          <w:p w14:paraId="23712970">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承揽</w:t>
            </w:r>
            <w:r>
              <w:rPr>
                <w:rFonts w:hint="default" w:ascii="Times New Roman" w:hAnsi="Times New Roman" w:cs="Times New Roman" w:eastAsiaTheme="minorEastAsia"/>
                <w:color w:val="auto"/>
                <w:kern w:val="0"/>
                <w:sz w:val="18"/>
                <w:szCs w:val="18"/>
                <w:highlight w:val="none"/>
              </w:rPr>
              <w:t>工程造价100万元</w:t>
            </w:r>
            <w:r>
              <w:rPr>
                <w:rFonts w:hint="default" w:ascii="Times New Roman" w:hAnsi="Times New Roman" w:cs="Times New Roman" w:eastAsiaTheme="minorEastAsia"/>
                <w:color w:val="auto"/>
                <w:kern w:val="0"/>
                <w:sz w:val="18"/>
                <w:szCs w:val="18"/>
                <w:highlight w:val="none"/>
                <w:lang w:eastAsia="zh-CN"/>
              </w:rPr>
              <w:t>以下；</w:t>
            </w:r>
          </w:p>
          <w:p w14:paraId="2D7F3054">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工程完成量在</w:t>
            </w:r>
            <w:r>
              <w:rPr>
                <w:rFonts w:hint="default" w:ascii="Times New Roman" w:hAnsi="Times New Roman" w:cs="Times New Roman" w:eastAsiaTheme="minorEastAsia"/>
                <w:color w:val="auto"/>
                <w:kern w:val="0"/>
                <w:sz w:val="18"/>
                <w:szCs w:val="18"/>
                <w:highlight w:val="none"/>
                <w:lang w:val="en-US" w:eastAsia="zh-CN"/>
              </w:rPr>
              <w:t>10%以下</w:t>
            </w:r>
          </w:p>
        </w:tc>
        <w:tc>
          <w:tcPr>
            <w:tcW w:w="594" w:type="pct"/>
            <w:gridSpan w:val="3"/>
            <w:shd w:val="clear" w:color="auto" w:fill="auto"/>
            <w:tcMar>
              <w:top w:w="15" w:type="dxa"/>
              <w:left w:w="15" w:type="dxa"/>
              <w:right w:w="15" w:type="dxa"/>
            </w:tcMar>
            <w:vAlign w:val="center"/>
          </w:tcPr>
          <w:p w14:paraId="6DBC8A3A">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w:t>
            </w:r>
            <w:r>
              <w:rPr>
                <w:rFonts w:hint="default" w:ascii="Times New Roman" w:hAnsi="Times New Roman" w:cs="Times New Roman" w:eastAsiaTheme="minorEastAsia"/>
                <w:color w:val="auto"/>
                <w:kern w:val="0"/>
                <w:sz w:val="18"/>
                <w:szCs w:val="18"/>
                <w:highlight w:val="none"/>
                <w:lang w:val="en-US" w:eastAsia="zh-CN"/>
              </w:rPr>
              <w:t>9000</w:t>
            </w:r>
            <w:r>
              <w:rPr>
                <w:rFonts w:hint="default" w:ascii="Times New Roman" w:hAnsi="Times New Roman" w:cs="Times New Roman" w:eastAsiaTheme="minorEastAsia"/>
                <w:color w:val="auto"/>
                <w:kern w:val="0"/>
                <w:sz w:val="18"/>
                <w:szCs w:val="18"/>
                <w:highlight w:val="none"/>
              </w:rPr>
              <w:t>元以下的罚款；已经取得设计、施工资格证书，情节严重的，提请原发证机关吊销设计、施工资格证书</w:t>
            </w:r>
          </w:p>
        </w:tc>
        <w:tc>
          <w:tcPr>
            <w:tcW w:w="260" w:type="pct"/>
            <w:gridSpan w:val="3"/>
            <w:vMerge w:val="restart"/>
            <w:shd w:val="clear" w:color="auto" w:fill="auto"/>
            <w:tcMar>
              <w:top w:w="15" w:type="dxa"/>
              <w:left w:w="15" w:type="dxa"/>
              <w:right w:w="15" w:type="dxa"/>
            </w:tcMar>
            <w:vAlign w:val="center"/>
          </w:tcPr>
          <w:p w14:paraId="1119BE01">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责令停止设计、施工，限期改正</w:t>
            </w:r>
          </w:p>
          <w:p w14:paraId="2BD35F25">
            <w:pPr>
              <w:widowControl/>
              <w:shd w:val="clear"/>
              <w:jc w:val="left"/>
              <w:textAlignment w:val="center"/>
              <w:rPr>
                <w:rFonts w:hint="default" w:ascii="Times New Roman" w:hAnsi="Times New Roman" w:cs="Times New Roman" w:eastAsiaTheme="minorEastAsia"/>
                <w:color w:val="auto"/>
                <w:sz w:val="18"/>
                <w:szCs w:val="18"/>
                <w:highlight w:val="none"/>
              </w:rPr>
            </w:pPr>
          </w:p>
          <w:p w14:paraId="4D037B8C">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4F7C2119">
            <w:pPr>
              <w:shd w:val="clear"/>
              <w:rPr>
                <w:rFonts w:hint="default" w:ascii="Times New Roman" w:hAnsi="Times New Roman" w:cs="Times New Roman" w:eastAsiaTheme="minorEastAsia"/>
                <w:color w:val="auto"/>
                <w:sz w:val="18"/>
                <w:szCs w:val="18"/>
                <w:highlight w:val="none"/>
                <w:lang w:val="en-US" w:eastAsia="zh-CN"/>
              </w:rPr>
            </w:pPr>
          </w:p>
        </w:tc>
      </w:tr>
      <w:tr w14:paraId="27F9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500" w:hRule="atLeast"/>
        </w:trPr>
        <w:tc>
          <w:tcPr>
            <w:tcW w:w="116" w:type="pct"/>
            <w:vMerge w:val="continue"/>
            <w:shd w:val="clear" w:color="auto" w:fill="auto"/>
            <w:tcMar>
              <w:top w:w="15" w:type="dxa"/>
              <w:left w:w="15" w:type="dxa"/>
              <w:right w:w="15" w:type="dxa"/>
            </w:tcMar>
            <w:vAlign w:val="center"/>
          </w:tcPr>
          <w:p w14:paraId="4ED79FD6">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72A671DB">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5A14269B">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4FEF6886">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68EC8C7E">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483" w:type="pct"/>
            <w:gridSpan w:val="2"/>
            <w:shd w:val="clear" w:color="auto" w:fill="auto"/>
            <w:tcMar>
              <w:top w:w="15" w:type="dxa"/>
              <w:left w:w="15" w:type="dxa"/>
              <w:right w:w="15" w:type="dxa"/>
            </w:tcMar>
            <w:vAlign w:val="center"/>
          </w:tcPr>
          <w:p w14:paraId="091B5F19">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承揽</w:t>
            </w:r>
            <w:r>
              <w:rPr>
                <w:rFonts w:hint="default" w:ascii="Times New Roman" w:hAnsi="Times New Roman" w:cs="Times New Roman" w:eastAsiaTheme="minorEastAsia"/>
                <w:color w:val="auto"/>
                <w:kern w:val="0"/>
                <w:sz w:val="18"/>
                <w:szCs w:val="18"/>
                <w:highlight w:val="none"/>
              </w:rPr>
              <w:t>工程造价100万元</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500万元</w:t>
            </w:r>
            <w:r>
              <w:rPr>
                <w:rFonts w:hint="default" w:ascii="Times New Roman" w:hAnsi="Times New Roman" w:cs="Times New Roman" w:eastAsiaTheme="minorEastAsia"/>
                <w:color w:val="auto"/>
                <w:kern w:val="0"/>
                <w:sz w:val="18"/>
                <w:szCs w:val="18"/>
                <w:highlight w:val="none"/>
                <w:lang w:eastAsia="zh-CN"/>
              </w:rPr>
              <w:t>以下；</w:t>
            </w:r>
          </w:p>
          <w:p w14:paraId="28B3058B">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工程完成量在</w:t>
            </w:r>
            <w:r>
              <w:rPr>
                <w:rFonts w:hint="default" w:ascii="Times New Roman" w:hAnsi="Times New Roman" w:cs="Times New Roman" w:eastAsiaTheme="minorEastAsia"/>
                <w:color w:val="auto"/>
                <w:kern w:val="0"/>
                <w:sz w:val="18"/>
                <w:szCs w:val="18"/>
                <w:highlight w:val="none"/>
                <w:lang w:val="en-US" w:eastAsia="zh-CN"/>
              </w:rPr>
              <w:t>10%以上50%以下</w:t>
            </w:r>
          </w:p>
        </w:tc>
        <w:tc>
          <w:tcPr>
            <w:tcW w:w="594" w:type="pct"/>
            <w:gridSpan w:val="3"/>
            <w:shd w:val="clear" w:color="auto" w:fill="auto"/>
            <w:tcMar>
              <w:top w:w="15" w:type="dxa"/>
              <w:left w:w="15" w:type="dxa"/>
              <w:right w:w="15" w:type="dxa"/>
            </w:tcMar>
            <w:vAlign w:val="center"/>
          </w:tcPr>
          <w:p w14:paraId="3FD4677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w:t>
            </w:r>
            <w:r>
              <w:rPr>
                <w:rFonts w:hint="default" w:ascii="Times New Roman" w:hAnsi="Times New Roman" w:cs="Times New Roman" w:eastAsiaTheme="minorEastAsia"/>
                <w:color w:val="auto"/>
                <w:kern w:val="0"/>
                <w:sz w:val="18"/>
                <w:szCs w:val="18"/>
                <w:highlight w:val="none"/>
                <w:lang w:val="en-US" w:eastAsia="zh-CN"/>
              </w:rPr>
              <w:t>9000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2.1万</w:t>
            </w:r>
            <w:r>
              <w:rPr>
                <w:rFonts w:hint="default" w:ascii="Times New Roman" w:hAnsi="Times New Roman" w:cs="Times New Roman" w:eastAsiaTheme="minorEastAsia"/>
                <w:color w:val="auto"/>
                <w:kern w:val="0"/>
                <w:sz w:val="18"/>
                <w:szCs w:val="18"/>
                <w:highlight w:val="none"/>
              </w:rPr>
              <w:t>元以下的罚款；已经取得设计、施工资格证书，情节严重的，提请原发证机关吊销设计、施工资格证书</w:t>
            </w:r>
          </w:p>
        </w:tc>
        <w:tc>
          <w:tcPr>
            <w:tcW w:w="260" w:type="pct"/>
            <w:gridSpan w:val="3"/>
            <w:vMerge w:val="continue"/>
            <w:shd w:val="clear" w:color="auto" w:fill="auto"/>
            <w:tcMar>
              <w:top w:w="15" w:type="dxa"/>
              <w:left w:w="15" w:type="dxa"/>
              <w:right w:w="15" w:type="dxa"/>
            </w:tcMar>
            <w:vAlign w:val="center"/>
          </w:tcPr>
          <w:p w14:paraId="424C5FEF">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36FC337B">
            <w:pPr>
              <w:shd w:val="clear"/>
              <w:rPr>
                <w:rFonts w:hint="default" w:ascii="Times New Roman" w:hAnsi="Times New Roman" w:cs="Times New Roman" w:eastAsiaTheme="minorEastAsia"/>
                <w:color w:val="auto"/>
                <w:sz w:val="18"/>
                <w:szCs w:val="18"/>
                <w:highlight w:val="none"/>
              </w:rPr>
            </w:pPr>
          </w:p>
        </w:tc>
      </w:tr>
      <w:tr w14:paraId="43F7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740" w:hRule="atLeast"/>
        </w:trPr>
        <w:tc>
          <w:tcPr>
            <w:tcW w:w="116" w:type="pct"/>
            <w:vMerge w:val="continue"/>
            <w:shd w:val="clear" w:color="auto" w:fill="auto"/>
            <w:tcMar>
              <w:top w:w="15" w:type="dxa"/>
              <w:left w:w="15" w:type="dxa"/>
              <w:right w:w="15" w:type="dxa"/>
            </w:tcMar>
            <w:vAlign w:val="center"/>
          </w:tcPr>
          <w:p w14:paraId="0F2A05F3">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32806487">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530E0471">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40859D36">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575A6DE8">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483" w:type="pct"/>
            <w:gridSpan w:val="2"/>
            <w:shd w:val="clear" w:color="auto" w:fill="auto"/>
            <w:tcMar>
              <w:top w:w="15" w:type="dxa"/>
              <w:left w:w="15" w:type="dxa"/>
              <w:right w:w="15" w:type="dxa"/>
            </w:tcMar>
            <w:vAlign w:val="center"/>
          </w:tcPr>
          <w:p w14:paraId="5E1A9DD5">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承揽</w:t>
            </w:r>
            <w:r>
              <w:rPr>
                <w:rFonts w:hint="default" w:ascii="Times New Roman" w:hAnsi="Times New Roman" w:cs="Times New Roman" w:eastAsiaTheme="minorEastAsia"/>
                <w:color w:val="auto"/>
                <w:kern w:val="0"/>
                <w:sz w:val="18"/>
                <w:szCs w:val="18"/>
                <w:highlight w:val="none"/>
              </w:rPr>
              <w:t>工程造价500万元</w:t>
            </w:r>
            <w:r>
              <w:rPr>
                <w:rFonts w:hint="default" w:ascii="Times New Roman" w:hAnsi="Times New Roman" w:cs="Times New Roman" w:eastAsiaTheme="minorEastAsia"/>
                <w:color w:val="auto"/>
                <w:kern w:val="0"/>
                <w:sz w:val="18"/>
                <w:szCs w:val="18"/>
                <w:highlight w:val="none"/>
                <w:lang w:eastAsia="zh-CN"/>
              </w:rPr>
              <w:t>以上；</w:t>
            </w:r>
          </w:p>
          <w:p w14:paraId="0031D385">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工程完成量在</w:t>
            </w:r>
            <w:r>
              <w:rPr>
                <w:rFonts w:hint="default" w:ascii="Times New Roman" w:hAnsi="Times New Roman" w:cs="Times New Roman" w:eastAsiaTheme="minorEastAsia"/>
                <w:color w:val="auto"/>
                <w:kern w:val="0"/>
                <w:sz w:val="18"/>
                <w:szCs w:val="18"/>
                <w:highlight w:val="none"/>
                <w:lang w:val="en-US" w:eastAsia="zh-CN"/>
              </w:rPr>
              <w:t>50%以上</w:t>
            </w:r>
          </w:p>
        </w:tc>
        <w:tc>
          <w:tcPr>
            <w:tcW w:w="594" w:type="pct"/>
            <w:gridSpan w:val="3"/>
            <w:shd w:val="clear" w:color="auto" w:fill="auto"/>
            <w:tcMar>
              <w:top w:w="15" w:type="dxa"/>
              <w:left w:w="15" w:type="dxa"/>
              <w:right w:w="15" w:type="dxa"/>
            </w:tcMar>
            <w:vAlign w:val="center"/>
          </w:tcPr>
          <w:p w14:paraId="3933A3C6">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可以处</w:t>
            </w:r>
            <w:r>
              <w:rPr>
                <w:rFonts w:hint="default" w:ascii="Times New Roman" w:hAnsi="Times New Roman" w:cs="Times New Roman" w:eastAsiaTheme="minorEastAsia"/>
                <w:color w:val="auto"/>
                <w:kern w:val="0"/>
                <w:sz w:val="18"/>
                <w:szCs w:val="18"/>
                <w:highlight w:val="none"/>
                <w:lang w:val="en-US" w:eastAsia="zh-CN"/>
              </w:rPr>
              <w:t>2.1</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元以下的罚款；已经取得设计、施工资格证书，情节严重的，提请原发证机关吊销设计、施工资格证书</w:t>
            </w:r>
          </w:p>
        </w:tc>
        <w:tc>
          <w:tcPr>
            <w:tcW w:w="260" w:type="pct"/>
            <w:gridSpan w:val="3"/>
            <w:vMerge w:val="continue"/>
            <w:shd w:val="clear" w:color="auto" w:fill="auto"/>
            <w:tcMar>
              <w:top w:w="15" w:type="dxa"/>
              <w:left w:w="15" w:type="dxa"/>
              <w:right w:w="15" w:type="dxa"/>
            </w:tcMar>
            <w:vAlign w:val="center"/>
          </w:tcPr>
          <w:p w14:paraId="474B69BB">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6937F5B7">
            <w:pPr>
              <w:shd w:val="clear"/>
              <w:rPr>
                <w:rFonts w:hint="default" w:ascii="Times New Roman" w:hAnsi="Times New Roman" w:cs="Times New Roman" w:eastAsiaTheme="minorEastAsia"/>
                <w:color w:val="auto"/>
                <w:sz w:val="18"/>
                <w:szCs w:val="18"/>
                <w:highlight w:val="none"/>
              </w:rPr>
            </w:pPr>
          </w:p>
        </w:tc>
      </w:tr>
      <w:tr w14:paraId="5AB5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10" w:hRule="atLeast"/>
        </w:trPr>
        <w:tc>
          <w:tcPr>
            <w:tcW w:w="116" w:type="pct"/>
            <w:vMerge w:val="restart"/>
            <w:shd w:val="clear" w:color="auto" w:fill="auto"/>
            <w:tcMar>
              <w:top w:w="15" w:type="dxa"/>
              <w:left w:w="15" w:type="dxa"/>
              <w:right w:w="15" w:type="dxa"/>
            </w:tcMar>
            <w:vAlign w:val="center"/>
          </w:tcPr>
          <w:p w14:paraId="66162D25">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98</w:t>
            </w:r>
          </w:p>
        </w:tc>
        <w:tc>
          <w:tcPr>
            <w:tcW w:w="411" w:type="pct"/>
            <w:gridSpan w:val="2"/>
            <w:vMerge w:val="restart"/>
            <w:shd w:val="clear" w:color="auto" w:fill="auto"/>
            <w:tcMar>
              <w:top w:w="15" w:type="dxa"/>
              <w:left w:w="15" w:type="dxa"/>
              <w:right w:w="15" w:type="dxa"/>
            </w:tcMar>
            <w:vAlign w:val="center"/>
          </w:tcPr>
          <w:p w14:paraId="3DB173DC">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未按照城市道路设计、施工技术规范设计、施工</w:t>
            </w:r>
            <w:r>
              <w:rPr>
                <w:rFonts w:hint="default" w:ascii="Times New Roman" w:hAnsi="Times New Roman" w:cs="Times New Roman" w:eastAsiaTheme="minorEastAsia"/>
                <w:color w:val="auto"/>
                <w:kern w:val="0"/>
                <w:sz w:val="18"/>
                <w:szCs w:val="18"/>
                <w:highlight w:val="none"/>
                <w:lang w:eastAsia="zh-CN"/>
              </w:rPr>
              <w:t>的</w:t>
            </w:r>
            <w:r>
              <w:rPr>
                <w:rFonts w:hint="default" w:ascii="Times New Roman" w:hAnsi="Times New Roman" w:cs="Times New Roman" w:eastAsiaTheme="minorEastAsia"/>
                <w:color w:val="auto"/>
                <w:kern w:val="0"/>
                <w:sz w:val="18"/>
                <w:szCs w:val="18"/>
                <w:highlight w:val="none"/>
              </w:rPr>
              <w:t>〔车行道、桥梁设施（含人行天桥、地下通道）除外〕</w:t>
            </w:r>
          </w:p>
        </w:tc>
        <w:tc>
          <w:tcPr>
            <w:tcW w:w="1310" w:type="pct"/>
            <w:gridSpan w:val="2"/>
            <w:vMerge w:val="restart"/>
            <w:shd w:val="clear" w:color="auto" w:fill="auto"/>
            <w:tcMar>
              <w:top w:w="15" w:type="dxa"/>
              <w:left w:w="15" w:type="dxa"/>
              <w:right w:w="15" w:type="dxa"/>
            </w:tcMar>
            <w:vAlign w:val="center"/>
          </w:tcPr>
          <w:p w14:paraId="05538E5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《城市道路管理条例》第十七条第一款：“城市道路的设计、施工，应当严格执行国家和地方规定的城市道路设计、施工的技术规范。”</w:t>
            </w:r>
          </w:p>
        </w:tc>
        <w:tc>
          <w:tcPr>
            <w:tcW w:w="1314" w:type="pct"/>
            <w:gridSpan w:val="2"/>
            <w:vMerge w:val="restart"/>
            <w:shd w:val="clear" w:color="auto" w:fill="auto"/>
            <w:tcMar>
              <w:top w:w="15" w:type="dxa"/>
              <w:left w:w="15" w:type="dxa"/>
              <w:right w:w="15" w:type="dxa"/>
            </w:tcMar>
            <w:vAlign w:val="center"/>
          </w:tcPr>
          <w:p w14:paraId="171D60CF">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《城市道路管理条例》第三十九条</w:t>
            </w:r>
            <w:r>
              <w:rPr>
                <w:rFonts w:hint="default" w:ascii="Times New Roman" w:hAnsi="Times New Roman" w:cs="Times New Roman" w:eastAsiaTheme="minorEastAsia"/>
                <w:color w:val="auto"/>
                <w:kern w:val="0"/>
                <w:sz w:val="18"/>
                <w:szCs w:val="18"/>
                <w:highlight w:val="none"/>
                <w:lang w:eastAsia="zh-CN"/>
              </w:rPr>
              <w:t>第二项</w:t>
            </w:r>
            <w:r>
              <w:rPr>
                <w:rFonts w:hint="default" w:ascii="Times New Roman" w:hAnsi="Times New Roman" w:cs="Times New Roman" w:eastAsiaTheme="minorEastAsia"/>
                <w:color w:val="auto"/>
                <w:kern w:val="0"/>
                <w:sz w:val="18"/>
                <w:szCs w:val="18"/>
                <w:highlight w:val="none"/>
              </w:rPr>
              <w:t>：“违反本条例的规定，有下列行为之一的，由市政工程行政主管部门责令停止设计、施工，限期改正，可以并处3万元以下的罚款；已经取得设计、施工资格证书，情节严重的，提请原发证机关吊销设计、施工资格证书：（二）未按照城市道路设计、施工技术规范设计、施工的；”</w:t>
            </w:r>
          </w:p>
        </w:tc>
        <w:tc>
          <w:tcPr>
            <w:tcW w:w="177" w:type="pct"/>
            <w:gridSpan w:val="2"/>
            <w:shd w:val="clear" w:color="auto" w:fill="auto"/>
            <w:tcMar>
              <w:top w:w="15" w:type="dxa"/>
              <w:left w:w="15" w:type="dxa"/>
              <w:right w:w="15" w:type="dxa"/>
            </w:tcMar>
            <w:vAlign w:val="center"/>
          </w:tcPr>
          <w:p w14:paraId="469D61A4">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轻微</w:t>
            </w:r>
          </w:p>
        </w:tc>
        <w:tc>
          <w:tcPr>
            <w:tcW w:w="483" w:type="pct"/>
            <w:gridSpan w:val="2"/>
            <w:shd w:val="clear" w:color="auto" w:fill="auto"/>
            <w:tcMar>
              <w:top w:w="15" w:type="dxa"/>
              <w:left w:w="15" w:type="dxa"/>
              <w:right w:w="15" w:type="dxa"/>
            </w:tcMar>
            <w:vAlign w:val="center"/>
          </w:tcPr>
          <w:p w14:paraId="42339057">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造成城市道路工程质量不合格</w:t>
            </w:r>
            <w:r>
              <w:rPr>
                <w:rFonts w:hint="default" w:ascii="Times New Roman" w:hAnsi="Times New Roman" w:cs="Times New Roman" w:eastAsiaTheme="minorEastAsia"/>
                <w:color w:val="auto"/>
                <w:kern w:val="0"/>
                <w:sz w:val="18"/>
                <w:szCs w:val="18"/>
                <w:highlight w:val="none"/>
                <w:lang w:eastAsia="zh-CN"/>
              </w:rPr>
              <w:t>；</w:t>
            </w:r>
          </w:p>
          <w:p w14:paraId="557F040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工程完成量在</w:t>
            </w:r>
            <w:r>
              <w:rPr>
                <w:rFonts w:hint="default" w:ascii="Times New Roman" w:hAnsi="Times New Roman" w:cs="Times New Roman" w:eastAsiaTheme="minorEastAsia"/>
                <w:color w:val="auto"/>
                <w:kern w:val="0"/>
                <w:sz w:val="18"/>
                <w:szCs w:val="18"/>
                <w:highlight w:val="none"/>
                <w:lang w:val="en-US" w:eastAsia="zh-CN"/>
              </w:rPr>
              <w:t>10%以下</w:t>
            </w:r>
          </w:p>
        </w:tc>
        <w:tc>
          <w:tcPr>
            <w:tcW w:w="594" w:type="pct"/>
            <w:gridSpan w:val="3"/>
            <w:shd w:val="clear" w:color="auto" w:fill="auto"/>
            <w:tcMar>
              <w:top w:w="15" w:type="dxa"/>
              <w:left w:w="15" w:type="dxa"/>
              <w:right w:w="15" w:type="dxa"/>
            </w:tcMar>
            <w:vAlign w:val="center"/>
          </w:tcPr>
          <w:p w14:paraId="4915554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w:t>
            </w:r>
            <w:r>
              <w:rPr>
                <w:rFonts w:hint="default" w:ascii="Times New Roman" w:hAnsi="Times New Roman" w:cs="Times New Roman" w:eastAsiaTheme="minorEastAsia"/>
                <w:color w:val="auto"/>
                <w:kern w:val="0"/>
                <w:sz w:val="18"/>
                <w:szCs w:val="18"/>
                <w:highlight w:val="none"/>
                <w:lang w:val="en-US" w:eastAsia="zh-CN"/>
              </w:rPr>
              <w:t>9000</w:t>
            </w:r>
            <w:r>
              <w:rPr>
                <w:rFonts w:hint="default" w:ascii="Times New Roman" w:hAnsi="Times New Roman" w:cs="Times New Roman" w:eastAsiaTheme="minorEastAsia"/>
                <w:color w:val="auto"/>
                <w:kern w:val="0"/>
                <w:sz w:val="18"/>
                <w:szCs w:val="18"/>
                <w:highlight w:val="none"/>
              </w:rPr>
              <w:t>元以下的罚款；已经取得设计、施工资格证书，情节严重的，提请原发证机关吊销设计、施工资格证书</w:t>
            </w:r>
          </w:p>
        </w:tc>
        <w:tc>
          <w:tcPr>
            <w:tcW w:w="260" w:type="pct"/>
            <w:gridSpan w:val="3"/>
            <w:vMerge w:val="restart"/>
            <w:shd w:val="clear" w:color="auto" w:fill="auto"/>
            <w:tcMar>
              <w:top w:w="15" w:type="dxa"/>
              <w:left w:w="15" w:type="dxa"/>
              <w:right w:w="15" w:type="dxa"/>
            </w:tcMar>
            <w:vAlign w:val="center"/>
          </w:tcPr>
          <w:p w14:paraId="5BA613FD">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责令停止设计、施工，限期改正</w:t>
            </w:r>
          </w:p>
          <w:p w14:paraId="344A033C">
            <w:pPr>
              <w:widowControl/>
              <w:shd w:val="clear"/>
              <w:jc w:val="left"/>
              <w:textAlignment w:val="center"/>
              <w:rPr>
                <w:rFonts w:hint="default" w:ascii="Times New Roman" w:hAnsi="Times New Roman" w:cs="Times New Roman" w:eastAsiaTheme="minorEastAsia"/>
                <w:color w:val="auto"/>
                <w:sz w:val="18"/>
                <w:szCs w:val="18"/>
                <w:highlight w:val="none"/>
              </w:rPr>
            </w:pPr>
          </w:p>
          <w:p w14:paraId="690F1EA8">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08F7A41F">
            <w:pPr>
              <w:shd w:val="clear"/>
              <w:rPr>
                <w:rFonts w:hint="default" w:ascii="Times New Roman" w:hAnsi="Times New Roman" w:cs="Times New Roman" w:eastAsiaTheme="minorEastAsia"/>
                <w:color w:val="auto"/>
                <w:sz w:val="18"/>
                <w:szCs w:val="18"/>
                <w:highlight w:val="none"/>
                <w:lang w:val="en-US"/>
              </w:rPr>
            </w:pPr>
          </w:p>
        </w:tc>
      </w:tr>
      <w:tr w14:paraId="5E85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10" w:hRule="atLeast"/>
        </w:trPr>
        <w:tc>
          <w:tcPr>
            <w:tcW w:w="116" w:type="pct"/>
            <w:vMerge w:val="continue"/>
            <w:shd w:val="clear" w:color="auto" w:fill="auto"/>
            <w:tcMar>
              <w:top w:w="15" w:type="dxa"/>
              <w:left w:w="15" w:type="dxa"/>
              <w:right w:w="15" w:type="dxa"/>
            </w:tcMar>
            <w:vAlign w:val="center"/>
          </w:tcPr>
          <w:p w14:paraId="195322B4">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40A755B4">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4AB51D84">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54E1F2EE">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26234871">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483" w:type="pct"/>
            <w:gridSpan w:val="2"/>
            <w:shd w:val="clear" w:color="auto" w:fill="auto"/>
            <w:tcMar>
              <w:top w:w="15" w:type="dxa"/>
              <w:left w:w="15" w:type="dxa"/>
              <w:right w:w="15" w:type="dxa"/>
            </w:tcMar>
            <w:vAlign w:val="center"/>
          </w:tcPr>
          <w:p w14:paraId="29BCFDA0">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造成城市道路工程质量存在重大缺陷</w:t>
            </w:r>
            <w:r>
              <w:rPr>
                <w:rFonts w:hint="default" w:ascii="Times New Roman" w:hAnsi="Times New Roman" w:cs="Times New Roman" w:eastAsiaTheme="minorEastAsia"/>
                <w:color w:val="auto"/>
                <w:kern w:val="0"/>
                <w:sz w:val="18"/>
                <w:szCs w:val="18"/>
                <w:highlight w:val="none"/>
                <w:lang w:eastAsia="zh-CN"/>
              </w:rPr>
              <w:t>；</w:t>
            </w:r>
          </w:p>
          <w:p w14:paraId="46BE52D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工程完成量在</w:t>
            </w:r>
            <w:r>
              <w:rPr>
                <w:rFonts w:hint="default" w:ascii="Times New Roman" w:hAnsi="Times New Roman" w:cs="Times New Roman" w:eastAsiaTheme="minorEastAsia"/>
                <w:color w:val="auto"/>
                <w:kern w:val="0"/>
                <w:sz w:val="18"/>
                <w:szCs w:val="18"/>
                <w:highlight w:val="none"/>
                <w:lang w:val="en-US" w:eastAsia="zh-CN"/>
              </w:rPr>
              <w:t>10%以上50%以下</w:t>
            </w:r>
          </w:p>
        </w:tc>
        <w:tc>
          <w:tcPr>
            <w:tcW w:w="594" w:type="pct"/>
            <w:gridSpan w:val="3"/>
            <w:shd w:val="clear" w:color="auto" w:fill="auto"/>
            <w:tcMar>
              <w:top w:w="15" w:type="dxa"/>
              <w:left w:w="15" w:type="dxa"/>
              <w:right w:w="15" w:type="dxa"/>
            </w:tcMar>
            <w:vAlign w:val="center"/>
          </w:tcPr>
          <w:p w14:paraId="0EAE7ED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w:t>
            </w:r>
            <w:r>
              <w:rPr>
                <w:rFonts w:hint="default" w:ascii="Times New Roman" w:hAnsi="Times New Roman" w:cs="Times New Roman" w:eastAsiaTheme="minorEastAsia"/>
                <w:color w:val="auto"/>
                <w:kern w:val="0"/>
                <w:sz w:val="18"/>
                <w:szCs w:val="18"/>
                <w:highlight w:val="none"/>
                <w:lang w:val="en-US" w:eastAsia="zh-CN"/>
              </w:rPr>
              <w:t>9000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2.1</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元以下的罚款；已经取得设计、施工资格证书，情节严重的，提请原发证机关吊销设计、施工资格证书</w:t>
            </w:r>
          </w:p>
        </w:tc>
        <w:tc>
          <w:tcPr>
            <w:tcW w:w="260" w:type="pct"/>
            <w:gridSpan w:val="3"/>
            <w:vMerge w:val="continue"/>
            <w:shd w:val="clear" w:color="auto" w:fill="auto"/>
            <w:tcMar>
              <w:top w:w="15" w:type="dxa"/>
              <w:left w:w="15" w:type="dxa"/>
              <w:right w:w="15" w:type="dxa"/>
            </w:tcMar>
            <w:vAlign w:val="center"/>
          </w:tcPr>
          <w:p w14:paraId="04FCC15B">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7FCBB16B">
            <w:pPr>
              <w:shd w:val="clear"/>
              <w:rPr>
                <w:rFonts w:hint="default" w:ascii="Times New Roman" w:hAnsi="Times New Roman" w:cs="Times New Roman" w:eastAsiaTheme="minorEastAsia"/>
                <w:color w:val="auto"/>
                <w:sz w:val="18"/>
                <w:szCs w:val="18"/>
                <w:highlight w:val="none"/>
              </w:rPr>
            </w:pPr>
          </w:p>
        </w:tc>
      </w:tr>
      <w:tr w14:paraId="7734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10" w:hRule="atLeast"/>
        </w:trPr>
        <w:tc>
          <w:tcPr>
            <w:tcW w:w="116" w:type="pct"/>
            <w:vMerge w:val="continue"/>
            <w:shd w:val="clear" w:color="auto" w:fill="auto"/>
            <w:tcMar>
              <w:top w:w="15" w:type="dxa"/>
              <w:left w:w="15" w:type="dxa"/>
              <w:right w:w="15" w:type="dxa"/>
            </w:tcMar>
            <w:vAlign w:val="center"/>
          </w:tcPr>
          <w:p w14:paraId="067401E2">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594777FD">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26559771">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70A6721A">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6025FC85">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483" w:type="pct"/>
            <w:gridSpan w:val="2"/>
            <w:shd w:val="clear" w:color="auto" w:fill="auto"/>
            <w:tcMar>
              <w:top w:w="15" w:type="dxa"/>
              <w:left w:w="15" w:type="dxa"/>
              <w:right w:w="15" w:type="dxa"/>
            </w:tcMar>
            <w:vAlign w:val="center"/>
          </w:tcPr>
          <w:p w14:paraId="17CC7D8D">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已</w:t>
            </w:r>
            <w:r>
              <w:rPr>
                <w:rFonts w:hint="default" w:ascii="Times New Roman" w:hAnsi="Times New Roman" w:cs="Times New Roman" w:eastAsiaTheme="minorEastAsia"/>
                <w:color w:val="auto"/>
                <w:kern w:val="0"/>
                <w:sz w:val="18"/>
                <w:szCs w:val="18"/>
                <w:highlight w:val="none"/>
              </w:rPr>
              <w:t>造成城市道路整体停运或其它严重危害后果</w:t>
            </w:r>
            <w:r>
              <w:rPr>
                <w:rFonts w:hint="default" w:ascii="Times New Roman" w:hAnsi="Times New Roman" w:cs="Times New Roman" w:eastAsiaTheme="minorEastAsia"/>
                <w:color w:val="auto"/>
                <w:kern w:val="0"/>
                <w:sz w:val="18"/>
                <w:szCs w:val="18"/>
                <w:highlight w:val="none"/>
                <w:lang w:eastAsia="zh-CN"/>
              </w:rPr>
              <w:t>；</w:t>
            </w:r>
          </w:p>
          <w:p w14:paraId="4101B2C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工程完成量在50%以上</w:t>
            </w:r>
          </w:p>
        </w:tc>
        <w:tc>
          <w:tcPr>
            <w:tcW w:w="594" w:type="pct"/>
            <w:gridSpan w:val="3"/>
            <w:shd w:val="clear" w:color="auto" w:fill="auto"/>
            <w:tcMar>
              <w:top w:w="15" w:type="dxa"/>
              <w:left w:w="15" w:type="dxa"/>
              <w:right w:w="15" w:type="dxa"/>
            </w:tcMar>
            <w:vAlign w:val="center"/>
          </w:tcPr>
          <w:p w14:paraId="21DA3ABA">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w:t>
            </w:r>
            <w:r>
              <w:rPr>
                <w:rFonts w:hint="default" w:ascii="Times New Roman" w:hAnsi="Times New Roman" w:cs="Times New Roman" w:eastAsiaTheme="minorEastAsia"/>
                <w:color w:val="auto"/>
                <w:kern w:val="0"/>
                <w:sz w:val="18"/>
                <w:szCs w:val="18"/>
                <w:highlight w:val="none"/>
                <w:lang w:val="en-US" w:eastAsia="zh-CN"/>
              </w:rPr>
              <w:t>2.1</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元以下的罚款；已经取得设计、施工资格证书，情节严重的，提请原发证机关吊销设计、施工资格证书</w:t>
            </w:r>
          </w:p>
        </w:tc>
        <w:tc>
          <w:tcPr>
            <w:tcW w:w="260" w:type="pct"/>
            <w:gridSpan w:val="3"/>
            <w:vMerge w:val="continue"/>
            <w:shd w:val="clear" w:color="auto" w:fill="auto"/>
            <w:tcMar>
              <w:top w:w="15" w:type="dxa"/>
              <w:left w:w="15" w:type="dxa"/>
              <w:right w:w="15" w:type="dxa"/>
            </w:tcMar>
            <w:vAlign w:val="center"/>
          </w:tcPr>
          <w:p w14:paraId="5D926F3B">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23FD9956">
            <w:pPr>
              <w:shd w:val="clear"/>
              <w:rPr>
                <w:rFonts w:hint="default" w:ascii="Times New Roman" w:hAnsi="Times New Roman" w:cs="Times New Roman" w:eastAsiaTheme="minorEastAsia"/>
                <w:color w:val="auto"/>
                <w:sz w:val="18"/>
                <w:szCs w:val="18"/>
                <w:highlight w:val="none"/>
              </w:rPr>
            </w:pPr>
          </w:p>
        </w:tc>
      </w:tr>
      <w:tr w14:paraId="56805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395" w:hRule="atLeast"/>
        </w:trPr>
        <w:tc>
          <w:tcPr>
            <w:tcW w:w="116" w:type="pct"/>
            <w:vMerge w:val="restart"/>
            <w:shd w:val="clear" w:color="auto" w:fill="auto"/>
            <w:tcMar>
              <w:top w:w="15" w:type="dxa"/>
              <w:left w:w="15" w:type="dxa"/>
              <w:right w:w="15" w:type="dxa"/>
            </w:tcMar>
            <w:vAlign w:val="center"/>
          </w:tcPr>
          <w:p w14:paraId="2A98BA9F">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99</w:t>
            </w:r>
          </w:p>
        </w:tc>
        <w:tc>
          <w:tcPr>
            <w:tcW w:w="411" w:type="pct"/>
            <w:gridSpan w:val="2"/>
            <w:vMerge w:val="restart"/>
            <w:shd w:val="clear" w:color="auto" w:fill="auto"/>
            <w:tcMar>
              <w:top w:w="15" w:type="dxa"/>
              <w:left w:w="15" w:type="dxa"/>
              <w:right w:w="15" w:type="dxa"/>
            </w:tcMar>
            <w:vAlign w:val="center"/>
          </w:tcPr>
          <w:p w14:paraId="6843D66A">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擅自使用未经验收或者验收不合格的城市道路</w:t>
            </w:r>
            <w:r>
              <w:rPr>
                <w:rFonts w:hint="default" w:ascii="Times New Roman" w:hAnsi="Times New Roman" w:cs="Times New Roman" w:eastAsiaTheme="minorEastAsia"/>
                <w:color w:val="auto"/>
                <w:kern w:val="0"/>
                <w:sz w:val="18"/>
                <w:szCs w:val="18"/>
                <w:highlight w:val="none"/>
                <w:lang w:eastAsia="zh-CN"/>
              </w:rPr>
              <w:t>的</w:t>
            </w:r>
            <w:r>
              <w:rPr>
                <w:rFonts w:hint="default" w:ascii="Times New Roman" w:hAnsi="Times New Roman" w:cs="Times New Roman" w:eastAsiaTheme="minorEastAsia"/>
                <w:color w:val="auto"/>
                <w:kern w:val="0"/>
                <w:sz w:val="18"/>
                <w:szCs w:val="18"/>
                <w:highlight w:val="none"/>
              </w:rPr>
              <w:t>〔车行道、桥梁设施（含人行天桥、地下通道）除外〕</w:t>
            </w:r>
          </w:p>
        </w:tc>
        <w:tc>
          <w:tcPr>
            <w:tcW w:w="1310" w:type="pct"/>
            <w:gridSpan w:val="2"/>
            <w:vMerge w:val="restart"/>
            <w:shd w:val="clear" w:color="auto" w:fill="auto"/>
            <w:tcMar>
              <w:top w:w="15" w:type="dxa"/>
              <w:left w:w="15" w:type="dxa"/>
              <w:right w:w="15" w:type="dxa"/>
            </w:tcMar>
            <w:vAlign w:val="center"/>
          </w:tcPr>
          <w:p w14:paraId="77C2F94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《城市道路管理条例》第十七条第三款：“城市道路工程竣工，经验收合格后，方可交付使用；未经验收或者验收不合格的，不得交付使用。”</w:t>
            </w:r>
          </w:p>
        </w:tc>
        <w:tc>
          <w:tcPr>
            <w:tcW w:w="1314" w:type="pct"/>
            <w:gridSpan w:val="2"/>
            <w:vMerge w:val="restart"/>
            <w:shd w:val="clear" w:color="auto" w:fill="auto"/>
            <w:tcMar>
              <w:top w:w="15" w:type="dxa"/>
              <w:left w:w="15" w:type="dxa"/>
              <w:right w:w="15" w:type="dxa"/>
            </w:tcMar>
            <w:vAlign w:val="center"/>
          </w:tcPr>
          <w:p w14:paraId="22197A36">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《城市道路管理条例》第四十条：“违反本条例第十七条规定，擅自使用未经验收或者验收不合格的城市道路的，由市政工程行政主管部门责令限期改正，给予警告，可以并处工程造价2%以下的罚款。”</w:t>
            </w:r>
          </w:p>
        </w:tc>
        <w:tc>
          <w:tcPr>
            <w:tcW w:w="177" w:type="pct"/>
            <w:gridSpan w:val="2"/>
            <w:shd w:val="clear" w:color="auto" w:fill="auto"/>
            <w:tcMar>
              <w:top w:w="15" w:type="dxa"/>
              <w:left w:w="15" w:type="dxa"/>
              <w:right w:w="15" w:type="dxa"/>
            </w:tcMar>
            <w:vAlign w:val="center"/>
          </w:tcPr>
          <w:p w14:paraId="63385040">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轻微</w:t>
            </w:r>
          </w:p>
        </w:tc>
        <w:tc>
          <w:tcPr>
            <w:tcW w:w="483" w:type="pct"/>
            <w:gridSpan w:val="2"/>
            <w:shd w:val="clear" w:color="auto" w:fill="auto"/>
            <w:tcMar>
              <w:top w:w="15" w:type="dxa"/>
              <w:left w:w="15" w:type="dxa"/>
              <w:right w:w="15" w:type="dxa"/>
            </w:tcMar>
            <w:vAlign w:val="center"/>
          </w:tcPr>
          <w:p w14:paraId="7D8D6FEE">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尚未出现城市道路工程质量事故</w:t>
            </w:r>
            <w:r>
              <w:rPr>
                <w:rFonts w:hint="default" w:ascii="Times New Roman" w:hAnsi="Times New Roman" w:cs="Times New Roman" w:eastAsiaTheme="minorEastAsia"/>
                <w:color w:val="auto"/>
                <w:kern w:val="0"/>
                <w:sz w:val="18"/>
                <w:szCs w:val="18"/>
                <w:highlight w:val="none"/>
                <w:lang w:eastAsia="zh-CN"/>
              </w:rPr>
              <w:t>；</w:t>
            </w:r>
          </w:p>
          <w:p w14:paraId="3E8BA26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使用时间</w:t>
            </w:r>
            <w:r>
              <w:rPr>
                <w:rFonts w:hint="default" w:ascii="Times New Roman" w:hAnsi="Times New Roman" w:cs="Times New Roman" w:eastAsiaTheme="minorEastAsia"/>
                <w:color w:val="auto"/>
                <w:kern w:val="0"/>
                <w:sz w:val="18"/>
                <w:szCs w:val="18"/>
                <w:highlight w:val="none"/>
                <w:lang w:val="en-US" w:eastAsia="zh-CN"/>
              </w:rPr>
              <w:t>5天以下</w:t>
            </w:r>
          </w:p>
        </w:tc>
        <w:tc>
          <w:tcPr>
            <w:tcW w:w="594" w:type="pct"/>
            <w:gridSpan w:val="3"/>
            <w:shd w:val="clear" w:color="auto" w:fill="auto"/>
            <w:tcMar>
              <w:top w:w="15" w:type="dxa"/>
              <w:left w:w="15" w:type="dxa"/>
              <w:right w:w="15" w:type="dxa"/>
            </w:tcMar>
            <w:vAlign w:val="center"/>
          </w:tcPr>
          <w:p w14:paraId="0A5BDF0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给予警告，可以并处工程造价</w:t>
            </w:r>
            <w:r>
              <w:rPr>
                <w:rFonts w:hint="default" w:ascii="Times New Roman" w:hAnsi="Times New Roman" w:cs="Times New Roman" w:eastAsiaTheme="minorEastAsia"/>
                <w:color w:val="auto"/>
                <w:kern w:val="0"/>
                <w:sz w:val="18"/>
                <w:szCs w:val="18"/>
                <w:highlight w:val="none"/>
                <w:lang w:val="en-US"/>
              </w:rPr>
              <w:t>0.5</w:t>
            </w:r>
            <w:r>
              <w:rPr>
                <w:rFonts w:hint="default" w:ascii="Times New Roman" w:hAnsi="Times New Roman" w:cs="Times New Roman" w:eastAsiaTheme="minorEastAsia"/>
                <w:color w:val="auto"/>
                <w:kern w:val="0"/>
                <w:sz w:val="18"/>
                <w:szCs w:val="18"/>
                <w:highlight w:val="none"/>
              </w:rPr>
              <w:t>％以下的罚款</w:t>
            </w:r>
          </w:p>
        </w:tc>
        <w:tc>
          <w:tcPr>
            <w:tcW w:w="260" w:type="pct"/>
            <w:gridSpan w:val="3"/>
            <w:vMerge w:val="restart"/>
            <w:shd w:val="clear" w:color="auto" w:fill="auto"/>
            <w:tcMar>
              <w:top w:w="15" w:type="dxa"/>
              <w:left w:w="15" w:type="dxa"/>
              <w:right w:w="15" w:type="dxa"/>
            </w:tcMar>
            <w:vAlign w:val="center"/>
          </w:tcPr>
          <w:p w14:paraId="41828072">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w:t>
            </w:r>
          </w:p>
          <w:p w14:paraId="33B8B2E7">
            <w:pPr>
              <w:widowControl/>
              <w:shd w:val="clear"/>
              <w:jc w:val="left"/>
              <w:textAlignment w:val="center"/>
              <w:rPr>
                <w:rFonts w:hint="default" w:ascii="Times New Roman" w:hAnsi="Times New Roman" w:cs="Times New Roman" w:eastAsiaTheme="minorEastAsia"/>
                <w:color w:val="auto"/>
                <w:sz w:val="18"/>
                <w:szCs w:val="18"/>
                <w:highlight w:val="none"/>
              </w:rPr>
            </w:pPr>
          </w:p>
          <w:p w14:paraId="1AC8003B">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17F32374">
            <w:pPr>
              <w:shd w:val="clear"/>
              <w:rPr>
                <w:rFonts w:hint="default" w:ascii="Times New Roman" w:hAnsi="Times New Roman" w:cs="Times New Roman" w:eastAsiaTheme="minorEastAsia"/>
                <w:color w:val="auto"/>
                <w:sz w:val="18"/>
                <w:szCs w:val="18"/>
                <w:highlight w:val="none"/>
                <w:lang w:val="en-US" w:eastAsia="zh-CN"/>
              </w:rPr>
            </w:pPr>
          </w:p>
        </w:tc>
      </w:tr>
      <w:tr w14:paraId="4343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660" w:hRule="atLeast"/>
        </w:trPr>
        <w:tc>
          <w:tcPr>
            <w:tcW w:w="116" w:type="pct"/>
            <w:vMerge w:val="continue"/>
            <w:shd w:val="clear" w:color="auto" w:fill="auto"/>
            <w:tcMar>
              <w:top w:w="15" w:type="dxa"/>
              <w:left w:w="15" w:type="dxa"/>
              <w:right w:w="15" w:type="dxa"/>
            </w:tcMar>
            <w:vAlign w:val="center"/>
          </w:tcPr>
          <w:p w14:paraId="5D746F54">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1EE73BC6">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4E30194C">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268E9ACA">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5433C596">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483" w:type="pct"/>
            <w:gridSpan w:val="2"/>
            <w:shd w:val="clear" w:color="auto" w:fill="auto"/>
            <w:tcMar>
              <w:top w:w="15" w:type="dxa"/>
              <w:left w:w="15" w:type="dxa"/>
              <w:right w:w="15" w:type="dxa"/>
            </w:tcMar>
            <w:vAlign w:val="center"/>
          </w:tcPr>
          <w:p w14:paraId="489F4EC4">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造成城市道路工程质量一般事故</w:t>
            </w:r>
            <w:r>
              <w:rPr>
                <w:rFonts w:hint="default" w:ascii="Times New Roman" w:hAnsi="Times New Roman" w:cs="Times New Roman" w:eastAsiaTheme="minorEastAsia"/>
                <w:color w:val="auto"/>
                <w:kern w:val="0"/>
                <w:sz w:val="18"/>
                <w:szCs w:val="18"/>
                <w:highlight w:val="none"/>
                <w:lang w:eastAsia="zh-CN"/>
              </w:rPr>
              <w:t>；</w:t>
            </w:r>
          </w:p>
          <w:p w14:paraId="3EF5B1EA">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使用时间</w:t>
            </w:r>
            <w:r>
              <w:rPr>
                <w:rFonts w:hint="default" w:ascii="Times New Roman" w:hAnsi="Times New Roman" w:cs="Times New Roman" w:eastAsiaTheme="minorEastAsia"/>
                <w:color w:val="auto"/>
                <w:kern w:val="0"/>
                <w:sz w:val="18"/>
                <w:szCs w:val="18"/>
                <w:highlight w:val="none"/>
                <w:lang w:val="en-US" w:eastAsia="zh-CN"/>
              </w:rPr>
              <w:t>5天以上30天以下</w:t>
            </w:r>
          </w:p>
        </w:tc>
        <w:tc>
          <w:tcPr>
            <w:tcW w:w="594" w:type="pct"/>
            <w:gridSpan w:val="3"/>
            <w:shd w:val="clear" w:color="auto" w:fill="auto"/>
            <w:tcMar>
              <w:top w:w="15" w:type="dxa"/>
              <w:left w:w="15" w:type="dxa"/>
              <w:right w:w="15" w:type="dxa"/>
            </w:tcMar>
            <w:vAlign w:val="center"/>
          </w:tcPr>
          <w:p w14:paraId="24A5A13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给予警告，可以并处工程造价</w:t>
            </w:r>
            <w:r>
              <w:rPr>
                <w:rFonts w:hint="default" w:ascii="Times New Roman" w:hAnsi="Times New Roman" w:cs="Times New Roman" w:eastAsiaTheme="minorEastAsia"/>
                <w:color w:val="auto"/>
                <w:kern w:val="0"/>
                <w:sz w:val="18"/>
                <w:szCs w:val="18"/>
                <w:highlight w:val="none"/>
                <w:lang w:val="en-US"/>
              </w:rPr>
              <w:t>0.5</w:t>
            </w:r>
            <w:r>
              <w:rPr>
                <w:rFonts w:hint="default" w:ascii="Times New Roman" w:hAnsi="Times New Roman" w:cs="Times New Roman" w:eastAsiaTheme="minorEastAsia"/>
                <w:color w:val="auto"/>
                <w:kern w:val="0"/>
                <w:sz w:val="18"/>
                <w:szCs w:val="18"/>
                <w:highlight w:val="none"/>
              </w:rPr>
              <w:t>%以上</w:t>
            </w:r>
            <w:r>
              <w:rPr>
                <w:rFonts w:hint="default" w:ascii="Times New Roman" w:hAnsi="Times New Roman" w:cs="Times New Roman" w:eastAsiaTheme="minorEastAsia"/>
                <w:color w:val="auto"/>
                <w:kern w:val="0"/>
                <w:sz w:val="18"/>
                <w:szCs w:val="18"/>
                <w:highlight w:val="none"/>
                <w:lang w:val="en-US"/>
              </w:rPr>
              <w:t>1.5</w:t>
            </w:r>
            <w:r>
              <w:rPr>
                <w:rFonts w:hint="default" w:ascii="Times New Roman" w:hAnsi="Times New Roman" w:cs="Times New Roman" w:eastAsiaTheme="minorEastAsia"/>
                <w:color w:val="auto"/>
                <w:kern w:val="0"/>
                <w:sz w:val="18"/>
                <w:szCs w:val="18"/>
                <w:highlight w:val="none"/>
              </w:rPr>
              <w:t>%以下的罚款</w:t>
            </w:r>
          </w:p>
        </w:tc>
        <w:tc>
          <w:tcPr>
            <w:tcW w:w="260" w:type="pct"/>
            <w:gridSpan w:val="3"/>
            <w:vMerge w:val="continue"/>
            <w:shd w:val="clear" w:color="auto" w:fill="auto"/>
            <w:tcMar>
              <w:top w:w="15" w:type="dxa"/>
              <w:left w:w="15" w:type="dxa"/>
              <w:right w:w="15" w:type="dxa"/>
            </w:tcMar>
            <w:vAlign w:val="center"/>
          </w:tcPr>
          <w:p w14:paraId="048F34AB">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4907841B">
            <w:pPr>
              <w:shd w:val="clear"/>
              <w:rPr>
                <w:rFonts w:hint="default" w:ascii="Times New Roman" w:hAnsi="Times New Roman" w:cs="Times New Roman" w:eastAsiaTheme="minorEastAsia"/>
                <w:color w:val="auto"/>
                <w:sz w:val="18"/>
                <w:szCs w:val="18"/>
                <w:highlight w:val="none"/>
              </w:rPr>
            </w:pPr>
          </w:p>
        </w:tc>
      </w:tr>
      <w:tr w14:paraId="2221C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743" w:hRule="atLeast"/>
        </w:trPr>
        <w:tc>
          <w:tcPr>
            <w:tcW w:w="116" w:type="pct"/>
            <w:vMerge w:val="continue"/>
            <w:shd w:val="clear" w:color="auto" w:fill="auto"/>
            <w:tcMar>
              <w:top w:w="15" w:type="dxa"/>
              <w:left w:w="15" w:type="dxa"/>
              <w:right w:w="15" w:type="dxa"/>
            </w:tcMar>
            <w:vAlign w:val="center"/>
          </w:tcPr>
          <w:p w14:paraId="6FDE85C4">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1CD97D1B">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031C1899">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4668B8CE">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1822762F">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483" w:type="pct"/>
            <w:gridSpan w:val="2"/>
            <w:shd w:val="clear" w:color="auto" w:fill="auto"/>
            <w:tcMar>
              <w:top w:w="15" w:type="dxa"/>
              <w:left w:w="15" w:type="dxa"/>
              <w:right w:w="15" w:type="dxa"/>
            </w:tcMar>
            <w:vAlign w:val="center"/>
          </w:tcPr>
          <w:p w14:paraId="2CA13AB5">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造成城市道路工程质量较大以上事故</w:t>
            </w:r>
            <w:r>
              <w:rPr>
                <w:rFonts w:hint="default" w:ascii="Times New Roman" w:hAnsi="Times New Roman" w:cs="Times New Roman" w:eastAsiaTheme="minorEastAsia"/>
                <w:color w:val="auto"/>
                <w:kern w:val="0"/>
                <w:sz w:val="18"/>
                <w:szCs w:val="18"/>
                <w:highlight w:val="none"/>
                <w:lang w:eastAsia="zh-CN"/>
              </w:rPr>
              <w:t>；</w:t>
            </w:r>
          </w:p>
          <w:p w14:paraId="0EE0DEA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使用时间</w:t>
            </w:r>
            <w:r>
              <w:rPr>
                <w:rFonts w:hint="default" w:ascii="Times New Roman" w:hAnsi="Times New Roman" w:cs="Times New Roman" w:eastAsiaTheme="minorEastAsia"/>
                <w:color w:val="auto"/>
                <w:kern w:val="0"/>
                <w:sz w:val="18"/>
                <w:szCs w:val="18"/>
                <w:highlight w:val="none"/>
                <w:lang w:val="en-US" w:eastAsia="zh-CN"/>
              </w:rPr>
              <w:t>30天以上</w:t>
            </w:r>
          </w:p>
        </w:tc>
        <w:tc>
          <w:tcPr>
            <w:tcW w:w="594" w:type="pct"/>
            <w:gridSpan w:val="3"/>
            <w:shd w:val="clear" w:color="auto" w:fill="auto"/>
            <w:tcMar>
              <w:top w:w="15" w:type="dxa"/>
              <w:left w:w="15" w:type="dxa"/>
              <w:right w:w="15" w:type="dxa"/>
            </w:tcMar>
            <w:vAlign w:val="center"/>
          </w:tcPr>
          <w:p w14:paraId="21F0CF0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给予警告，可以并处工程造价</w:t>
            </w:r>
            <w:r>
              <w:rPr>
                <w:rFonts w:hint="default" w:ascii="Times New Roman" w:hAnsi="Times New Roman" w:cs="Times New Roman" w:eastAsiaTheme="minorEastAsia"/>
                <w:color w:val="auto"/>
                <w:kern w:val="0"/>
                <w:sz w:val="18"/>
                <w:szCs w:val="18"/>
                <w:highlight w:val="none"/>
                <w:lang w:val="en-US"/>
              </w:rPr>
              <w:t>1.5</w:t>
            </w:r>
            <w:r>
              <w:rPr>
                <w:rFonts w:hint="default" w:ascii="Times New Roman" w:hAnsi="Times New Roman" w:cs="Times New Roman" w:eastAsiaTheme="minorEastAsia"/>
                <w:color w:val="auto"/>
                <w:kern w:val="0"/>
                <w:sz w:val="18"/>
                <w:szCs w:val="18"/>
                <w:highlight w:val="none"/>
              </w:rPr>
              <w:t>%以上2%以下的罚款</w:t>
            </w:r>
          </w:p>
        </w:tc>
        <w:tc>
          <w:tcPr>
            <w:tcW w:w="260" w:type="pct"/>
            <w:gridSpan w:val="3"/>
            <w:vMerge w:val="continue"/>
            <w:shd w:val="clear" w:color="auto" w:fill="auto"/>
            <w:tcMar>
              <w:top w:w="15" w:type="dxa"/>
              <w:left w:w="15" w:type="dxa"/>
              <w:right w:w="15" w:type="dxa"/>
            </w:tcMar>
            <w:vAlign w:val="center"/>
          </w:tcPr>
          <w:p w14:paraId="448553E0">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1DBBE008">
            <w:pPr>
              <w:shd w:val="clear"/>
              <w:rPr>
                <w:rFonts w:hint="default" w:ascii="Times New Roman" w:hAnsi="Times New Roman" w:cs="Times New Roman" w:eastAsiaTheme="minorEastAsia"/>
                <w:color w:val="auto"/>
                <w:sz w:val="18"/>
                <w:szCs w:val="18"/>
                <w:highlight w:val="none"/>
              </w:rPr>
            </w:pPr>
          </w:p>
        </w:tc>
      </w:tr>
      <w:tr w14:paraId="4A40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053" w:hRule="atLeast"/>
        </w:trPr>
        <w:tc>
          <w:tcPr>
            <w:tcW w:w="116" w:type="pct"/>
            <w:vMerge w:val="restart"/>
            <w:shd w:val="clear" w:color="auto" w:fill="auto"/>
            <w:tcMar>
              <w:top w:w="15" w:type="dxa"/>
              <w:left w:w="15" w:type="dxa"/>
              <w:right w:w="15" w:type="dxa"/>
            </w:tcMar>
            <w:vAlign w:val="center"/>
          </w:tcPr>
          <w:p w14:paraId="2B9699B7">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100</w:t>
            </w:r>
          </w:p>
        </w:tc>
        <w:tc>
          <w:tcPr>
            <w:tcW w:w="411" w:type="pct"/>
            <w:gridSpan w:val="2"/>
            <w:vMerge w:val="restart"/>
            <w:shd w:val="clear" w:color="auto" w:fill="auto"/>
            <w:tcMar>
              <w:top w:w="15" w:type="dxa"/>
              <w:left w:w="15" w:type="dxa"/>
              <w:right w:w="15" w:type="dxa"/>
            </w:tcMar>
            <w:vAlign w:val="center"/>
          </w:tcPr>
          <w:p w14:paraId="517FA725">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未对设在城市道路上的各种管线的检查井、箱盖或者城市道路附属设施的缺损及时补缺或者修复</w:t>
            </w:r>
            <w:r>
              <w:rPr>
                <w:rFonts w:hint="default" w:ascii="Times New Roman" w:hAnsi="Times New Roman" w:cs="Times New Roman" w:eastAsiaTheme="minorEastAsia"/>
                <w:color w:val="auto"/>
                <w:kern w:val="0"/>
                <w:sz w:val="18"/>
                <w:szCs w:val="18"/>
                <w:highlight w:val="none"/>
                <w:lang w:eastAsia="zh-CN"/>
              </w:rPr>
              <w:t>的</w:t>
            </w:r>
            <w:r>
              <w:rPr>
                <w:rFonts w:hint="default" w:ascii="Times New Roman" w:hAnsi="Times New Roman" w:cs="Times New Roman" w:eastAsiaTheme="minorEastAsia"/>
                <w:color w:val="auto"/>
                <w:kern w:val="0"/>
                <w:sz w:val="18"/>
                <w:szCs w:val="18"/>
                <w:highlight w:val="none"/>
              </w:rPr>
              <w:t>〔车行道、桥梁设施（含人行天桥、地下通道）除外〕</w:t>
            </w:r>
          </w:p>
        </w:tc>
        <w:tc>
          <w:tcPr>
            <w:tcW w:w="1310" w:type="pct"/>
            <w:gridSpan w:val="2"/>
            <w:vMerge w:val="restart"/>
            <w:shd w:val="clear" w:color="auto" w:fill="auto"/>
            <w:tcMar>
              <w:top w:w="15" w:type="dxa"/>
              <w:left w:w="15" w:type="dxa"/>
              <w:right w:w="15" w:type="dxa"/>
            </w:tcMar>
            <w:vAlign w:val="center"/>
          </w:tcPr>
          <w:p w14:paraId="6BE3E7F7">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《城市道路管理条例》第二十三条：“设在城市道路上的各类管线的检查井、箱盖或者城市道路附属设施，应当符合城市道路养护规范。因缺损影响交通和安全时，有关产权单位应当及时补缺或者修复。”</w:t>
            </w:r>
          </w:p>
        </w:tc>
        <w:tc>
          <w:tcPr>
            <w:tcW w:w="1314" w:type="pct"/>
            <w:gridSpan w:val="2"/>
            <w:vMerge w:val="restart"/>
            <w:shd w:val="clear" w:color="auto" w:fill="auto"/>
            <w:tcMar>
              <w:top w:w="15" w:type="dxa"/>
              <w:left w:w="15" w:type="dxa"/>
              <w:right w:w="15" w:type="dxa"/>
            </w:tcMar>
            <w:vAlign w:val="center"/>
          </w:tcPr>
          <w:p w14:paraId="742B292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《城市道路管理条例》第四十二条</w:t>
            </w:r>
            <w:r>
              <w:rPr>
                <w:rFonts w:hint="default" w:ascii="Times New Roman" w:hAnsi="Times New Roman" w:cs="Times New Roman" w:eastAsiaTheme="minorEastAsia"/>
                <w:color w:val="auto"/>
                <w:kern w:val="0"/>
                <w:sz w:val="18"/>
                <w:szCs w:val="18"/>
                <w:highlight w:val="none"/>
                <w:lang w:eastAsia="zh-CN"/>
              </w:rPr>
              <w:t>第一项</w:t>
            </w:r>
            <w:r>
              <w:rPr>
                <w:rFonts w:hint="default" w:ascii="Times New Roman" w:hAnsi="Times New Roman" w:cs="Times New Roman" w:eastAsiaTheme="minorEastAsia"/>
                <w:color w:val="auto"/>
                <w:kern w:val="0"/>
                <w:sz w:val="18"/>
                <w:szCs w:val="18"/>
                <w:highlight w:val="none"/>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w:t>
            </w:r>
          </w:p>
        </w:tc>
        <w:tc>
          <w:tcPr>
            <w:tcW w:w="177" w:type="pct"/>
            <w:gridSpan w:val="2"/>
            <w:shd w:val="clear" w:color="auto" w:fill="auto"/>
            <w:tcMar>
              <w:top w:w="15" w:type="dxa"/>
              <w:left w:w="15" w:type="dxa"/>
              <w:right w:w="15" w:type="dxa"/>
            </w:tcMar>
            <w:vAlign w:val="center"/>
          </w:tcPr>
          <w:p w14:paraId="0D2E03F6">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1539148A">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缺损1处未及时补缺或者修复</w:t>
            </w:r>
          </w:p>
        </w:tc>
        <w:tc>
          <w:tcPr>
            <w:tcW w:w="545" w:type="pct"/>
            <w:gridSpan w:val="2"/>
            <w:shd w:val="clear" w:color="auto" w:fill="auto"/>
            <w:tcMar>
              <w:top w:w="15" w:type="dxa"/>
              <w:left w:w="15" w:type="dxa"/>
              <w:right w:w="15" w:type="dxa"/>
            </w:tcMar>
            <w:vAlign w:val="center"/>
          </w:tcPr>
          <w:p w14:paraId="15967267">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可以处以</w:t>
            </w:r>
            <w:r>
              <w:rPr>
                <w:rFonts w:hint="default" w:ascii="Times New Roman" w:hAnsi="Times New Roman" w:cs="Times New Roman" w:eastAsiaTheme="minorEastAsia"/>
                <w:color w:val="auto"/>
                <w:kern w:val="0"/>
                <w:sz w:val="18"/>
                <w:szCs w:val="18"/>
                <w:highlight w:val="none"/>
                <w:lang w:val="en-US" w:eastAsia="zh-CN"/>
              </w:rPr>
              <w:t>6000</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restart"/>
            <w:shd w:val="clear" w:color="auto" w:fill="auto"/>
            <w:tcMar>
              <w:top w:w="15" w:type="dxa"/>
              <w:left w:w="15" w:type="dxa"/>
              <w:right w:w="15" w:type="dxa"/>
            </w:tcMar>
            <w:vAlign w:val="center"/>
          </w:tcPr>
          <w:p w14:paraId="62C7E489">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责令限期改正；造成损失的，应当依法承担赔偿责任</w:t>
            </w:r>
          </w:p>
          <w:p w14:paraId="37E81E46">
            <w:pPr>
              <w:widowControl/>
              <w:shd w:val="clear"/>
              <w:jc w:val="left"/>
              <w:textAlignment w:val="center"/>
              <w:rPr>
                <w:rFonts w:hint="default" w:ascii="Times New Roman" w:hAnsi="Times New Roman" w:cs="Times New Roman" w:eastAsiaTheme="minorEastAsia"/>
                <w:color w:val="auto"/>
                <w:sz w:val="18"/>
                <w:szCs w:val="18"/>
                <w:highlight w:val="none"/>
              </w:rPr>
            </w:pPr>
          </w:p>
          <w:p w14:paraId="12033DB0">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46D0C235">
            <w:pPr>
              <w:shd w:val="clear"/>
              <w:rPr>
                <w:rFonts w:hint="default" w:ascii="Times New Roman" w:hAnsi="Times New Roman" w:cs="Times New Roman" w:eastAsiaTheme="minorEastAsia"/>
                <w:color w:val="auto"/>
                <w:sz w:val="18"/>
                <w:szCs w:val="18"/>
                <w:highlight w:val="none"/>
                <w:lang w:val="en-US" w:eastAsia="zh-CN"/>
              </w:rPr>
            </w:pPr>
          </w:p>
        </w:tc>
      </w:tr>
      <w:tr w14:paraId="5BFC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16" w:hRule="atLeast"/>
        </w:trPr>
        <w:tc>
          <w:tcPr>
            <w:tcW w:w="116" w:type="pct"/>
            <w:vMerge w:val="continue"/>
            <w:shd w:val="clear" w:color="auto" w:fill="auto"/>
            <w:tcMar>
              <w:top w:w="15" w:type="dxa"/>
              <w:left w:w="15" w:type="dxa"/>
              <w:right w:w="15" w:type="dxa"/>
            </w:tcMar>
            <w:vAlign w:val="center"/>
          </w:tcPr>
          <w:p w14:paraId="05A97436">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794F2DD5">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574BD7D1">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143198AE">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3147E032">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6ADB0AD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缺损2处未及时补缺或者修复</w:t>
            </w:r>
          </w:p>
        </w:tc>
        <w:tc>
          <w:tcPr>
            <w:tcW w:w="545" w:type="pct"/>
            <w:gridSpan w:val="2"/>
            <w:shd w:val="clear" w:color="auto" w:fill="auto"/>
            <w:tcMar>
              <w:top w:w="15" w:type="dxa"/>
              <w:left w:w="15" w:type="dxa"/>
              <w:right w:w="15" w:type="dxa"/>
            </w:tcMar>
            <w:vAlign w:val="center"/>
          </w:tcPr>
          <w:p w14:paraId="43DE22B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可以处以</w:t>
            </w:r>
            <w:r>
              <w:rPr>
                <w:rFonts w:hint="default" w:ascii="Times New Roman" w:hAnsi="Times New Roman" w:cs="Times New Roman" w:eastAsiaTheme="minorEastAsia"/>
                <w:color w:val="auto"/>
                <w:kern w:val="0"/>
                <w:sz w:val="18"/>
                <w:szCs w:val="18"/>
                <w:highlight w:val="none"/>
                <w:lang w:val="en-US" w:eastAsia="zh-CN"/>
              </w:rPr>
              <w:t>6000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1.4</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35548E0C">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191837A5">
            <w:pPr>
              <w:shd w:val="clear"/>
              <w:rPr>
                <w:rFonts w:hint="default" w:ascii="Times New Roman" w:hAnsi="Times New Roman" w:cs="Times New Roman" w:eastAsiaTheme="minorEastAsia"/>
                <w:color w:val="auto"/>
                <w:sz w:val="18"/>
                <w:szCs w:val="18"/>
                <w:highlight w:val="none"/>
              </w:rPr>
            </w:pPr>
          </w:p>
        </w:tc>
      </w:tr>
      <w:tr w14:paraId="6269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358" w:hRule="atLeast"/>
        </w:trPr>
        <w:tc>
          <w:tcPr>
            <w:tcW w:w="116" w:type="pct"/>
            <w:vMerge w:val="continue"/>
            <w:shd w:val="clear" w:color="auto" w:fill="auto"/>
            <w:tcMar>
              <w:top w:w="15" w:type="dxa"/>
              <w:left w:w="15" w:type="dxa"/>
              <w:right w:w="15" w:type="dxa"/>
            </w:tcMar>
            <w:vAlign w:val="center"/>
          </w:tcPr>
          <w:p w14:paraId="10D2698F">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706DBFB3">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421D5DC">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1E4220FB">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2A1EA263">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4A44887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缺损3处</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未及时补缺或者修复</w:t>
            </w:r>
          </w:p>
        </w:tc>
        <w:tc>
          <w:tcPr>
            <w:tcW w:w="545" w:type="pct"/>
            <w:gridSpan w:val="2"/>
            <w:shd w:val="clear" w:color="auto" w:fill="auto"/>
            <w:tcMar>
              <w:top w:w="15" w:type="dxa"/>
              <w:left w:w="15" w:type="dxa"/>
              <w:right w:w="15" w:type="dxa"/>
            </w:tcMar>
            <w:vAlign w:val="center"/>
          </w:tcPr>
          <w:p w14:paraId="00BB94B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可以处以</w:t>
            </w:r>
            <w:r>
              <w:rPr>
                <w:rFonts w:hint="default" w:ascii="Times New Roman" w:hAnsi="Times New Roman" w:cs="Times New Roman" w:eastAsiaTheme="minorEastAsia"/>
                <w:color w:val="auto"/>
                <w:kern w:val="0"/>
                <w:sz w:val="18"/>
                <w:szCs w:val="18"/>
                <w:highlight w:val="none"/>
                <w:lang w:val="en-US" w:eastAsia="zh-CN"/>
              </w:rPr>
              <w:t>1.4</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2万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2762DD8B">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3DDD26F9">
            <w:pPr>
              <w:shd w:val="clear"/>
              <w:rPr>
                <w:rFonts w:hint="default" w:ascii="Times New Roman" w:hAnsi="Times New Roman" w:cs="Times New Roman" w:eastAsiaTheme="minorEastAsia"/>
                <w:color w:val="auto"/>
                <w:sz w:val="18"/>
                <w:szCs w:val="18"/>
                <w:highlight w:val="none"/>
              </w:rPr>
            </w:pPr>
          </w:p>
        </w:tc>
      </w:tr>
      <w:tr w14:paraId="58F5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698" w:hRule="atLeast"/>
        </w:trPr>
        <w:tc>
          <w:tcPr>
            <w:tcW w:w="116" w:type="pct"/>
            <w:vMerge w:val="restart"/>
            <w:shd w:val="clear" w:color="auto" w:fill="auto"/>
            <w:tcMar>
              <w:top w:w="15" w:type="dxa"/>
              <w:left w:w="15" w:type="dxa"/>
              <w:right w:w="15" w:type="dxa"/>
            </w:tcMar>
            <w:vAlign w:val="center"/>
          </w:tcPr>
          <w:p w14:paraId="05CFE400">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101</w:t>
            </w:r>
          </w:p>
        </w:tc>
        <w:tc>
          <w:tcPr>
            <w:tcW w:w="411" w:type="pct"/>
            <w:gridSpan w:val="2"/>
            <w:vMerge w:val="restart"/>
            <w:shd w:val="clear" w:color="auto" w:fill="auto"/>
            <w:tcMar>
              <w:top w:w="15" w:type="dxa"/>
              <w:left w:w="15" w:type="dxa"/>
              <w:right w:w="15" w:type="dxa"/>
            </w:tcMar>
            <w:vAlign w:val="center"/>
          </w:tcPr>
          <w:p w14:paraId="46DC5FE4">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未在城市道路施工现场设置明显标志和安全防围设施</w:t>
            </w:r>
            <w:r>
              <w:rPr>
                <w:rFonts w:hint="default" w:ascii="Times New Roman" w:hAnsi="Times New Roman" w:cs="Times New Roman" w:eastAsiaTheme="minorEastAsia"/>
                <w:color w:val="auto"/>
                <w:kern w:val="0"/>
                <w:sz w:val="18"/>
                <w:szCs w:val="18"/>
                <w:highlight w:val="none"/>
                <w:lang w:eastAsia="zh-CN"/>
              </w:rPr>
              <w:t>的</w:t>
            </w:r>
            <w:r>
              <w:rPr>
                <w:rFonts w:hint="default" w:ascii="Times New Roman" w:hAnsi="Times New Roman" w:cs="Times New Roman" w:eastAsiaTheme="minorEastAsia"/>
                <w:color w:val="auto"/>
                <w:kern w:val="0"/>
                <w:sz w:val="18"/>
                <w:szCs w:val="18"/>
                <w:highlight w:val="none"/>
              </w:rPr>
              <w:t>〔车行道、桥梁设施（含人行天桥、地下通道）除外〕</w:t>
            </w:r>
          </w:p>
        </w:tc>
        <w:tc>
          <w:tcPr>
            <w:tcW w:w="1310" w:type="pct"/>
            <w:gridSpan w:val="2"/>
            <w:vMerge w:val="restart"/>
            <w:shd w:val="clear" w:color="auto" w:fill="auto"/>
            <w:tcMar>
              <w:top w:w="15" w:type="dxa"/>
              <w:left w:w="15" w:type="dxa"/>
              <w:right w:w="15" w:type="dxa"/>
            </w:tcMar>
            <w:vAlign w:val="center"/>
          </w:tcPr>
          <w:p w14:paraId="265B1BB4">
            <w:pPr>
              <w:widowControl/>
              <w:shd w:val="clear"/>
              <w:ind w:firstLine="0" w:firstLineChars="0"/>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道路管理条例》第二十四条：“城市道路的养护、维修工程应当按照规定的期限修复竣工，并在养护、维修工程施工现场设置明显标志和安全防围设施，保障行人和交通车辆安全。”第三十五条：“经批准挖掘城市道路的，应当在施工现场设置明显标志和安全防围设施；竣工后，应当及时清理现场，通知市政工程行政主管部门检查验收。”</w:t>
            </w:r>
          </w:p>
        </w:tc>
        <w:tc>
          <w:tcPr>
            <w:tcW w:w="1314" w:type="pct"/>
            <w:gridSpan w:val="2"/>
            <w:vMerge w:val="restart"/>
            <w:shd w:val="clear" w:color="auto" w:fill="auto"/>
            <w:tcMar>
              <w:top w:w="15" w:type="dxa"/>
              <w:left w:w="15" w:type="dxa"/>
              <w:right w:w="15" w:type="dxa"/>
            </w:tcMar>
            <w:vAlign w:val="center"/>
          </w:tcPr>
          <w:p w14:paraId="131152B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《城市道路管理条例》第四十二条</w:t>
            </w:r>
            <w:r>
              <w:rPr>
                <w:rFonts w:hint="default" w:ascii="Times New Roman" w:hAnsi="Times New Roman" w:cs="Times New Roman" w:eastAsiaTheme="minorEastAsia"/>
                <w:color w:val="auto"/>
                <w:kern w:val="0"/>
                <w:sz w:val="18"/>
                <w:szCs w:val="18"/>
                <w:highlight w:val="none"/>
                <w:lang w:eastAsia="zh-CN"/>
              </w:rPr>
              <w:t>第二项</w:t>
            </w:r>
            <w:r>
              <w:rPr>
                <w:rFonts w:hint="default" w:ascii="Times New Roman" w:hAnsi="Times New Roman" w:cs="Times New Roman" w:eastAsiaTheme="minorEastAsia"/>
                <w:color w:val="auto"/>
                <w:kern w:val="0"/>
                <w:sz w:val="18"/>
                <w:szCs w:val="18"/>
                <w:highlight w:val="none"/>
              </w:rPr>
              <w:t>：“违反本条例第二十七条规定，或者有下列行为之一的，由市政工程行政主管部门或者其他有关部门责令限期改正，可以处以2万元以下的罚款；造成损失的，应当依法承担赔偿责任：（二）未在城市道路施工现场设置明显标志和安全防围设施的；”</w:t>
            </w:r>
          </w:p>
        </w:tc>
        <w:tc>
          <w:tcPr>
            <w:tcW w:w="177" w:type="pct"/>
            <w:gridSpan w:val="2"/>
            <w:shd w:val="clear" w:color="auto" w:fill="auto"/>
            <w:tcMar>
              <w:top w:w="15" w:type="dxa"/>
              <w:left w:w="15" w:type="dxa"/>
              <w:right w:w="15" w:type="dxa"/>
            </w:tcMar>
            <w:vAlign w:val="center"/>
          </w:tcPr>
          <w:p w14:paraId="1C8B3FA7">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6B752537">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施工面积5平方米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26803B8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可以处以</w:t>
            </w:r>
            <w:r>
              <w:rPr>
                <w:rFonts w:hint="default" w:ascii="Times New Roman" w:hAnsi="Times New Roman" w:cs="Times New Roman" w:eastAsiaTheme="minorEastAsia"/>
                <w:color w:val="auto"/>
                <w:kern w:val="0"/>
                <w:sz w:val="18"/>
                <w:szCs w:val="18"/>
                <w:highlight w:val="none"/>
                <w:lang w:val="en-US" w:eastAsia="zh-CN"/>
              </w:rPr>
              <w:t>6000</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restart"/>
            <w:shd w:val="clear" w:color="auto" w:fill="auto"/>
            <w:tcMar>
              <w:top w:w="15" w:type="dxa"/>
              <w:left w:w="15" w:type="dxa"/>
              <w:right w:w="15" w:type="dxa"/>
            </w:tcMar>
            <w:vAlign w:val="center"/>
          </w:tcPr>
          <w:p w14:paraId="46055D85">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责令限期改正；造成损失的，应当依法承担赔偿责任</w:t>
            </w:r>
          </w:p>
          <w:p w14:paraId="39C93273">
            <w:pPr>
              <w:widowControl/>
              <w:shd w:val="clear"/>
              <w:jc w:val="left"/>
              <w:textAlignment w:val="center"/>
              <w:rPr>
                <w:rFonts w:hint="default" w:ascii="Times New Roman" w:hAnsi="Times New Roman" w:cs="Times New Roman" w:eastAsiaTheme="minorEastAsia"/>
                <w:color w:val="auto"/>
                <w:sz w:val="18"/>
                <w:szCs w:val="18"/>
                <w:highlight w:val="none"/>
              </w:rPr>
            </w:pPr>
          </w:p>
          <w:p w14:paraId="1819CD2C">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592E18B1">
            <w:pPr>
              <w:shd w:val="clear"/>
              <w:jc w:val="left"/>
              <w:rPr>
                <w:rFonts w:hint="default" w:ascii="Times New Roman" w:hAnsi="Times New Roman" w:cs="Times New Roman" w:eastAsiaTheme="minorEastAsia"/>
                <w:color w:val="auto"/>
                <w:sz w:val="18"/>
                <w:szCs w:val="18"/>
                <w:highlight w:val="none"/>
                <w:lang w:val="en-US" w:eastAsia="zh-CN"/>
              </w:rPr>
            </w:pPr>
          </w:p>
        </w:tc>
      </w:tr>
      <w:tr w14:paraId="2CF9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720" w:hRule="atLeast"/>
        </w:trPr>
        <w:tc>
          <w:tcPr>
            <w:tcW w:w="116" w:type="pct"/>
            <w:vMerge w:val="continue"/>
            <w:shd w:val="clear" w:color="auto" w:fill="auto"/>
            <w:tcMar>
              <w:top w:w="15" w:type="dxa"/>
              <w:left w:w="15" w:type="dxa"/>
              <w:right w:w="15" w:type="dxa"/>
            </w:tcMar>
            <w:vAlign w:val="center"/>
          </w:tcPr>
          <w:p w14:paraId="6B20FFD1">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3F096820">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229E763B">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370644C3">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620E6F21">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564B8D2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施工面积5平方米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10平方米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49E485E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可以处以</w:t>
            </w:r>
            <w:r>
              <w:rPr>
                <w:rFonts w:hint="default" w:ascii="Times New Roman" w:hAnsi="Times New Roman" w:cs="Times New Roman" w:eastAsiaTheme="minorEastAsia"/>
                <w:color w:val="auto"/>
                <w:kern w:val="0"/>
                <w:sz w:val="18"/>
                <w:szCs w:val="18"/>
                <w:highlight w:val="none"/>
                <w:lang w:val="en-US" w:eastAsia="zh-CN"/>
              </w:rPr>
              <w:t>6000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1.4</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125072FB">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16C54D22">
            <w:pPr>
              <w:shd w:val="clear"/>
              <w:jc w:val="left"/>
              <w:rPr>
                <w:rFonts w:hint="default" w:ascii="Times New Roman" w:hAnsi="Times New Roman" w:cs="Times New Roman" w:eastAsiaTheme="minorEastAsia"/>
                <w:color w:val="auto"/>
                <w:sz w:val="18"/>
                <w:szCs w:val="18"/>
                <w:highlight w:val="none"/>
              </w:rPr>
            </w:pPr>
          </w:p>
        </w:tc>
      </w:tr>
      <w:tr w14:paraId="28B3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863" w:hRule="atLeast"/>
        </w:trPr>
        <w:tc>
          <w:tcPr>
            <w:tcW w:w="116" w:type="pct"/>
            <w:vMerge w:val="continue"/>
            <w:shd w:val="clear" w:color="auto" w:fill="auto"/>
            <w:tcMar>
              <w:top w:w="15" w:type="dxa"/>
              <w:left w:w="15" w:type="dxa"/>
              <w:right w:w="15" w:type="dxa"/>
            </w:tcMar>
            <w:vAlign w:val="center"/>
          </w:tcPr>
          <w:p w14:paraId="6AB04A75">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2843694B">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07C75ABB">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045BFBE8">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0FA9098D">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748DF22D">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施工面积10平方米</w:t>
            </w:r>
            <w:r>
              <w:rPr>
                <w:rFonts w:hint="default" w:ascii="Times New Roman" w:hAnsi="Times New Roman" w:cs="Times New Roman" w:eastAsiaTheme="minorEastAsia"/>
                <w:color w:val="auto"/>
                <w:kern w:val="0"/>
                <w:sz w:val="18"/>
                <w:szCs w:val="18"/>
                <w:highlight w:val="none"/>
                <w:lang w:eastAsia="zh-CN"/>
              </w:rPr>
              <w:t>以上；</w:t>
            </w:r>
          </w:p>
          <w:p w14:paraId="0D24225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存在</w:t>
            </w:r>
            <w:r>
              <w:rPr>
                <w:rFonts w:hint="default" w:ascii="Times New Roman" w:hAnsi="Times New Roman" w:cs="Times New Roman" w:eastAsiaTheme="minorEastAsia"/>
                <w:color w:val="auto"/>
                <w:kern w:val="0"/>
                <w:sz w:val="18"/>
                <w:szCs w:val="18"/>
                <w:highlight w:val="none"/>
              </w:rPr>
              <w:t>1米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深坑</w:t>
            </w:r>
          </w:p>
        </w:tc>
        <w:tc>
          <w:tcPr>
            <w:tcW w:w="545" w:type="pct"/>
            <w:gridSpan w:val="2"/>
            <w:shd w:val="clear" w:color="auto" w:fill="auto"/>
            <w:tcMar>
              <w:top w:w="15" w:type="dxa"/>
              <w:left w:w="15" w:type="dxa"/>
              <w:right w:w="15" w:type="dxa"/>
            </w:tcMar>
            <w:vAlign w:val="center"/>
          </w:tcPr>
          <w:p w14:paraId="479D261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可以处以</w:t>
            </w:r>
            <w:r>
              <w:rPr>
                <w:rFonts w:hint="default" w:ascii="Times New Roman" w:hAnsi="Times New Roman" w:cs="Times New Roman" w:eastAsiaTheme="minorEastAsia"/>
                <w:color w:val="auto"/>
                <w:kern w:val="0"/>
                <w:sz w:val="18"/>
                <w:szCs w:val="18"/>
                <w:highlight w:val="none"/>
                <w:lang w:val="en-US" w:eastAsia="zh-CN"/>
              </w:rPr>
              <w:t>1.4</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2万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3F097027">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5F2C6C6B">
            <w:pPr>
              <w:shd w:val="clear"/>
              <w:jc w:val="left"/>
              <w:rPr>
                <w:rFonts w:hint="default" w:ascii="Times New Roman" w:hAnsi="Times New Roman" w:cs="Times New Roman" w:eastAsiaTheme="minorEastAsia"/>
                <w:color w:val="auto"/>
                <w:sz w:val="18"/>
                <w:szCs w:val="18"/>
                <w:highlight w:val="none"/>
              </w:rPr>
            </w:pPr>
          </w:p>
        </w:tc>
      </w:tr>
      <w:tr w14:paraId="5B1E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960" w:hRule="atLeast"/>
        </w:trPr>
        <w:tc>
          <w:tcPr>
            <w:tcW w:w="116" w:type="pct"/>
            <w:vMerge w:val="restart"/>
            <w:shd w:val="clear" w:color="auto" w:fill="auto"/>
            <w:tcMar>
              <w:top w:w="15" w:type="dxa"/>
              <w:left w:w="15" w:type="dxa"/>
              <w:right w:w="15" w:type="dxa"/>
            </w:tcMar>
            <w:vAlign w:val="center"/>
          </w:tcPr>
          <w:p w14:paraId="596E9723">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102</w:t>
            </w:r>
          </w:p>
        </w:tc>
        <w:tc>
          <w:tcPr>
            <w:tcW w:w="411" w:type="pct"/>
            <w:gridSpan w:val="2"/>
            <w:vMerge w:val="restart"/>
            <w:shd w:val="clear" w:color="auto" w:fill="auto"/>
            <w:tcMar>
              <w:top w:w="15" w:type="dxa"/>
              <w:left w:w="15" w:type="dxa"/>
              <w:right w:w="15" w:type="dxa"/>
            </w:tcMar>
            <w:vAlign w:val="center"/>
          </w:tcPr>
          <w:p w14:paraId="5DBBEB68">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擅自占用或者挖掘城市道路</w:t>
            </w:r>
            <w:r>
              <w:rPr>
                <w:rFonts w:hint="default" w:ascii="Times New Roman" w:hAnsi="Times New Roman" w:cs="Times New Roman" w:eastAsiaTheme="minorEastAsia"/>
                <w:color w:val="auto"/>
                <w:kern w:val="0"/>
                <w:sz w:val="18"/>
                <w:szCs w:val="18"/>
                <w:highlight w:val="none"/>
                <w:lang w:eastAsia="zh-CN"/>
              </w:rPr>
              <w:t>的</w:t>
            </w:r>
            <w:r>
              <w:rPr>
                <w:rFonts w:hint="default" w:ascii="Times New Roman" w:hAnsi="Times New Roman" w:cs="Times New Roman" w:eastAsiaTheme="minorEastAsia"/>
                <w:color w:val="auto"/>
                <w:kern w:val="0"/>
                <w:sz w:val="18"/>
                <w:szCs w:val="18"/>
                <w:highlight w:val="none"/>
              </w:rPr>
              <w:t>〔车行道、桥梁设施（含人行天桥、地下通道）除外〕</w:t>
            </w:r>
          </w:p>
        </w:tc>
        <w:tc>
          <w:tcPr>
            <w:tcW w:w="1310" w:type="pct"/>
            <w:gridSpan w:val="2"/>
            <w:vMerge w:val="restart"/>
            <w:shd w:val="clear" w:color="auto" w:fill="auto"/>
            <w:tcMar>
              <w:top w:w="15" w:type="dxa"/>
              <w:left w:w="15" w:type="dxa"/>
              <w:right w:w="15" w:type="dxa"/>
            </w:tcMar>
            <w:vAlign w:val="center"/>
          </w:tcPr>
          <w:p w14:paraId="34E6822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《城市道路管理条例》第二十七条</w:t>
            </w:r>
            <w:r>
              <w:rPr>
                <w:rFonts w:hint="default" w:ascii="Times New Roman" w:hAnsi="Times New Roman" w:cs="Times New Roman" w:eastAsiaTheme="minorEastAsia"/>
                <w:color w:val="auto"/>
                <w:kern w:val="0"/>
                <w:sz w:val="18"/>
                <w:szCs w:val="18"/>
                <w:highlight w:val="none"/>
                <w:lang w:eastAsia="zh-CN"/>
              </w:rPr>
              <w:t>第一项</w:t>
            </w:r>
            <w:r>
              <w:rPr>
                <w:rFonts w:hint="default" w:ascii="Times New Roman" w:hAnsi="Times New Roman" w:cs="Times New Roman" w:eastAsiaTheme="minorEastAsia"/>
                <w:color w:val="auto"/>
                <w:kern w:val="0"/>
                <w:sz w:val="18"/>
                <w:szCs w:val="18"/>
                <w:highlight w:val="none"/>
              </w:rPr>
              <w:t>：“城市道路范围内禁止下列行为：（一）擅自占用或者挖掘城市道路；”第三十条：“未经市政工程行政主管部门和公安交通管理部门批准，任何单位或者个人不得占用或者挖掘城市道路。”</w:t>
            </w:r>
          </w:p>
        </w:tc>
        <w:tc>
          <w:tcPr>
            <w:tcW w:w="1314" w:type="pct"/>
            <w:gridSpan w:val="2"/>
            <w:vMerge w:val="restart"/>
            <w:shd w:val="clear" w:color="auto" w:fill="auto"/>
            <w:tcMar>
              <w:top w:w="15" w:type="dxa"/>
              <w:left w:w="15" w:type="dxa"/>
              <w:right w:w="15" w:type="dxa"/>
            </w:tcMar>
            <w:vAlign w:val="center"/>
          </w:tcPr>
          <w:p w14:paraId="064135A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道路管理条例》第四十二条：“违反本条例第二十七条规定，或者有下列行为之一的，由市政工程行政主管部门或者其他有关部门责令限期改正，可以处以2万元以下的罚款；造成损失的，应当依法承担赔偿责任：……”</w:t>
            </w:r>
          </w:p>
        </w:tc>
        <w:tc>
          <w:tcPr>
            <w:tcW w:w="177" w:type="pct"/>
            <w:gridSpan w:val="2"/>
            <w:shd w:val="clear" w:color="auto" w:fill="auto"/>
            <w:tcMar>
              <w:top w:w="15" w:type="dxa"/>
              <w:left w:w="15" w:type="dxa"/>
              <w:right w:w="15" w:type="dxa"/>
            </w:tcMar>
            <w:vAlign w:val="center"/>
          </w:tcPr>
          <w:p w14:paraId="77D2DB57">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6D0C48C7">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占用面积</w:t>
            </w:r>
            <w:r>
              <w:rPr>
                <w:rFonts w:hint="default" w:ascii="Times New Roman" w:hAnsi="Times New Roman" w:cs="Times New Roman" w:eastAsiaTheme="minorEastAsia"/>
                <w:color w:val="auto"/>
                <w:kern w:val="0"/>
                <w:sz w:val="18"/>
                <w:szCs w:val="18"/>
                <w:highlight w:val="none"/>
                <w:lang w:val="en-US" w:eastAsia="zh-CN"/>
              </w:rPr>
              <w:t>10</w:t>
            </w:r>
            <w:r>
              <w:rPr>
                <w:rFonts w:hint="default" w:ascii="Times New Roman" w:hAnsi="Times New Roman" w:cs="Times New Roman" w:eastAsiaTheme="minorEastAsia"/>
                <w:color w:val="auto"/>
                <w:kern w:val="0"/>
                <w:sz w:val="18"/>
                <w:szCs w:val="18"/>
                <w:highlight w:val="none"/>
              </w:rPr>
              <w:t>平方米</w:t>
            </w:r>
            <w:r>
              <w:rPr>
                <w:rFonts w:hint="default" w:ascii="Times New Roman" w:hAnsi="Times New Roman" w:cs="Times New Roman" w:eastAsiaTheme="minorEastAsia"/>
                <w:color w:val="auto"/>
                <w:kern w:val="0"/>
                <w:sz w:val="18"/>
                <w:szCs w:val="18"/>
                <w:highlight w:val="none"/>
                <w:lang w:eastAsia="zh-CN"/>
              </w:rPr>
              <w:t>以下；</w:t>
            </w:r>
          </w:p>
          <w:p w14:paraId="7A3DC78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挖掘面积5平方米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1947CC7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可以处以</w:t>
            </w:r>
            <w:r>
              <w:rPr>
                <w:rFonts w:hint="default" w:ascii="Times New Roman" w:hAnsi="Times New Roman" w:cs="Times New Roman" w:eastAsiaTheme="minorEastAsia"/>
                <w:color w:val="auto"/>
                <w:kern w:val="0"/>
                <w:sz w:val="18"/>
                <w:szCs w:val="18"/>
                <w:highlight w:val="none"/>
                <w:lang w:val="en-US" w:eastAsia="zh-CN"/>
              </w:rPr>
              <w:t>6000</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restart"/>
            <w:shd w:val="clear" w:color="auto" w:fill="auto"/>
            <w:tcMar>
              <w:top w:w="15" w:type="dxa"/>
              <w:left w:w="15" w:type="dxa"/>
              <w:right w:w="15" w:type="dxa"/>
            </w:tcMar>
            <w:vAlign w:val="center"/>
          </w:tcPr>
          <w:p w14:paraId="16A44907">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责令限期改正；造成损失的，应当依法承担赔偿责任</w:t>
            </w:r>
          </w:p>
          <w:p w14:paraId="60C0C1F0">
            <w:pPr>
              <w:widowControl/>
              <w:shd w:val="clear"/>
              <w:jc w:val="left"/>
              <w:textAlignment w:val="center"/>
              <w:rPr>
                <w:rFonts w:hint="default" w:ascii="Times New Roman" w:hAnsi="Times New Roman" w:cs="Times New Roman" w:eastAsiaTheme="minorEastAsia"/>
                <w:color w:val="auto"/>
                <w:sz w:val="18"/>
                <w:szCs w:val="18"/>
                <w:highlight w:val="none"/>
              </w:rPr>
            </w:pPr>
          </w:p>
          <w:p w14:paraId="724698CB">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56D23AFD">
            <w:pPr>
              <w:shd w:val="clear"/>
              <w:jc w:val="left"/>
              <w:rPr>
                <w:rFonts w:hint="default" w:ascii="Times New Roman" w:hAnsi="Times New Roman" w:cs="Times New Roman" w:eastAsiaTheme="minorEastAsia"/>
                <w:color w:val="auto"/>
                <w:sz w:val="18"/>
                <w:szCs w:val="18"/>
                <w:highlight w:val="none"/>
                <w:lang w:val="en-US" w:eastAsia="zh-CN"/>
              </w:rPr>
            </w:pPr>
          </w:p>
        </w:tc>
      </w:tr>
      <w:tr w14:paraId="7AFE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639" w:hRule="atLeast"/>
        </w:trPr>
        <w:tc>
          <w:tcPr>
            <w:tcW w:w="116" w:type="pct"/>
            <w:vMerge w:val="continue"/>
            <w:shd w:val="clear" w:color="auto" w:fill="auto"/>
            <w:tcMar>
              <w:top w:w="15" w:type="dxa"/>
              <w:left w:w="15" w:type="dxa"/>
              <w:right w:w="15" w:type="dxa"/>
            </w:tcMar>
            <w:vAlign w:val="center"/>
          </w:tcPr>
          <w:p w14:paraId="35175DC0">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2A225BDA">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790D5E79">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6734B918">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04FC23F5">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58D51C14">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占用面积</w:t>
            </w:r>
            <w:r>
              <w:rPr>
                <w:rFonts w:hint="default" w:ascii="Times New Roman" w:hAnsi="Times New Roman" w:cs="Times New Roman" w:eastAsiaTheme="minorEastAsia"/>
                <w:color w:val="auto"/>
                <w:kern w:val="0"/>
                <w:sz w:val="18"/>
                <w:szCs w:val="18"/>
                <w:highlight w:val="none"/>
                <w:lang w:val="en-US" w:eastAsia="zh-CN"/>
              </w:rPr>
              <w:t>10</w:t>
            </w:r>
            <w:r>
              <w:rPr>
                <w:rFonts w:hint="default" w:ascii="Times New Roman" w:hAnsi="Times New Roman" w:cs="Times New Roman" w:eastAsiaTheme="minorEastAsia"/>
                <w:color w:val="auto"/>
                <w:kern w:val="0"/>
                <w:sz w:val="18"/>
                <w:szCs w:val="18"/>
                <w:highlight w:val="none"/>
              </w:rPr>
              <w:t>平方米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lang w:val="en-US" w:eastAsia="zh-CN"/>
              </w:rPr>
              <w:t>30</w:t>
            </w:r>
            <w:r>
              <w:rPr>
                <w:rFonts w:hint="default" w:ascii="Times New Roman" w:hAnsi="Times New Roman" w:cs="Times New Roman" w:eastAsiaTheme="minorEastAsia"/>
                <w:color w:val="auto"/>
                <w:kern w:val="0"/>
                <w:sz w:val="18"/>
                <w:szCs w:val="18"/>
                <w:highlight w:val="none"/>
              </w:rPr>
              <w:t>平方米</w:t>
            </w:r>
            <w:r>
              <w:rPr>
                <w:rFonts w:hint="default" w:ascii="Times New Roman" w:hAnsi="Times New Roman" w:cs="Times New Roman" w:eastAsiaTheme="minorEastAsia"/>
                <w:color w:val="auto"/>
                <w:kern w:val="0"/>
                <w:sz w:val="18"/>
                <w:szCs w:val="18"/>
                <w:highlight w:val="none"/>
                <w:lang w:eastAsia="zh-CN"/>
              </w:rPr>
              <w:t>以下；</w:t>
            </w:r>
          </w:p>
          <w:p w14:paraId="07A5449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挖掘面积5平方米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lang w:val="en-US" w:eastAsia="zh-CN"/>
              </w:rPr>
              <w:t>10</w:t>
            </w:r>
            <w:r>
              <w:rPr>
                <w:rFonts w:hint="default" w:ascii="Times New Roman" w:hAnsi="Times New Roman" w:cs="Times New Roman" w:eastAsiaTheme="minorEastAsia"/>
                <w:color w:val="auto"/>
                <w:kern w:val="0"/>
                <w:sz w:val="18"/>
                <w:szCs w:val="18"/>
                <w:highlight w:val="none"/>
              </w:rPr>
              <w:t>平方米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34C1824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可以处以</w:t>
            </w:r>
            <w:r>
              <w:rPr>
                <w:rFonts w:hint="default" w:ascii="Times New Roman" w:hAnsi="Times New Roman" w:cs="Times New Roman" w:eastAsiaTheme="minorEastAsia"/>
                <w:color w:val="auto"/>
                <w:kern w:val="0"/>
                <w:sz w:val="18"/>
                <w:szCs w:val="18"/>
                <w:highlight w:val="none"/>
                <w:lang w:val="en-US" w:eastAsia="zh-CN"/>
              </w:rPr>
              <w:t>6000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1.4</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4A1D77B1">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3169E0D1">
            <w:pPr>
              <w:shd w:val="clear"/>
              <w:jc w:val="left"/>
              <w:rPr>
                <w:rFonts w:hint="default" w:ascii="Times New Roman" w:hAnsi="Times New Roman" w:cs="Times New Roman" w:eastAsiaTheme="minorEastAsia"/>
                <w:color w:val="auto"/>
                <w:sz w:val="18"/>
                <w:szCs w:val="18"/>
                <w:highlight w:val="none"/>
              </w:rPr>
            </w:pPr>
          </w:p>
        </w:tc>
      </w:tr>
      <w:tr w14:paraId="0ACC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983" w:hRule="atLeast"/>
        </w:trPr>
        <w:tc>
          <w:tcPr>
            <w:tcW w:w="116" w:type="pct"/>
            <w:vMerge w:val="continue"/>
            <w:shd w:val="clear" w:color="auto" w:fill="auto"/>
            <w:tcMar>
              <w:top w:w="15" w:type="dxa"/>
              <w:left w:w="15" w:type="dxa"/>
              <w:right w:w="15" w:type="dxa"/>
            </w:tcMar>
            <w:vAlign w:val="center"/>
          </w:tcPr>
          <w:p w14:paraId="4C403B44">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558517BD">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667D1326">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7EFFDBA0">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4305D19A">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355FCCAE">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占用面积</w:t>
            </w:r>
            <w:r>
              <w:rPr>
                <w:rFonts w:hint="default" w:ascii="Times New Roman" w:hAnsi="Times New Roman" w:cs="Times New Roman" w:eastAsiaTheme="minorEastAsia"/>
                <w:color w:val="auto"/>
                <w:kern w:val="0"/>
                <w:sz w:val="18"/>
                <w:szCs w:val="18"/>
                <w:highlight w:val="none"/>
                <w:lang w:val="en-US" w:eastAsia="zh-CN"/>
              </w:rPr>
              <w:t>30</w:t>
            </w:r>
            <w:r>
              <w:rPr>
                <w:rFonts w:hint="default" w:ascii="Times New Roman" w:hAnsi="Times New Roman" w:cs="Times New Roman" w:eastAsiaTheme="minorEastAsia"/>
                <w:color w:val="auto"/>
                <w:kern w:val="0"/>
                <w:sz w:val="18"/>
                <w:szCs w:val="18"/>
                <w:highlight w:val="none"/>
              </w:rPr>
              <w:t>平方米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lang w:val="en-US" w:eastAsia="zh-CN"/>
              </w:rPr>
              <w:t>;</w:t>
            </w:r>
          </w:p>
          <w:p w14:paraId="20E0CB2F">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挖掘面积</w:t>
            </w:r>
            <w:r>
              <w:rPr>
                <w:rFonts w:hint="default" w:ascii="Times New Roman" w:hAnsi="Times New Roman" w:cs="Times New Roman" w:eastAsiaTheme="minorEastAsia"/>
                <w:color w:val="auto"/>
                <w:kern w:val="0"/>
                <w:sz w:val="18"/>
                <w:szCs w:val="18"/>
                <w:highlight w:val="none"/>
                <w:lang w:val="en-US" w:eastAsia="zh-CN"/>
              </w:rPr>
              <w:t>10</w:t>
            </w:r>
            <w:r>
              <w:rPr>
                <w:rFonts w:hint="default" w:ascii="Times New Roman" w:hAnsi="Times New Roman" w:cs="Times New Roman" w:eastAsiaTheme="minorEastAsia"/>
                <w:color w:val="auto"/>
                <w:kern w:val="0"/>
                <w:sz w:val="18"/>
                <w:szCs w:val="18"/>
                <w:highlight w:val="none"/>
              </w:rPr>
              <w:t>平方米</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0DFD3FF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可以处以</w:t>
            </w:r>
            <w:r>
              <w:rPr>
                <w:rFonts w:hint="default" w:ascii="Times New Roman" w:hAnsi="Times New Roman" w:cs="Times New Roman" w:eastAsiaTheme="minorEastAsia"/>
                <w:color w:val="auto"/>
                <w:kern w:val="0"/>
                <w:sz w:val="18"/>
                <w:szCs w:val="18"/>
                <w:highlight w:val="none"/>
                <w:lang w:val="en-US" w:eastAsia="zh-CN"/>
              </w:rPr>
              <w:t>1.4</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2万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5EDFDECB">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65908B41">
            <w:pPr>
              <w:shd w:val="clear"/>
              <w:jc w:val="left"/>
              <w:rPr>
                <w:rFonts w:hint="default" w:ascii="Times New Roman" w:hAnsi="Times New Roman" w:cs="Times New Roman" w:eastAsiaTheme="minorEastAsia"/>
                <w:color w:val="auto"/>
                <w:sz w:val="18"/>
                <w:szCs w:val="18"/>
                <w:highlight w:val="none"/>
              </w:rPr>
            </w:pPr>
          </w:p>
        </w:tc>
      </w:tr>
      <w:tr w14:paraId="5829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625" w:hRule="atLeast"/>
        </w:trPr>
        <w:tc>
          <w:tcPr>
            <w:tcW w:w="116" w:type="pct"/>
            <w:vMerge w:val="restart"/>
            <w:shd w:val="clear" w:color="auto" w:fill="auto"/>
            <w:tcMar>
              <w:top w:w="15" w:type="dxa"/>
              <w:left w:w="15" w:type="dxa"/>
              <w:right w:w="15" w:type="dxa"/>
            </w:tcMar>
            <w:vAlign w:val="center"/>
          </w:tcPr>
          <w:p w14:paraId="06769B8C">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103</w:t>
            </w:r>
          </w:p>
        </w:tc>
        <w:tc>
          <w:tcPr>
            <w:tcW w:w="411" w:type="pct"/>
            <w:gridSpan w:val="2"/>
            <w:vMerge w:val="restart"/>
            <w:shd w:val="clear" w:color="auto" w:fill="auto"/>
            <w:tcMar>
              <w:top w:w="15" w:type="dxa"/>
              <w:left w:w="15" w:type="dxa"/>
              <w:right w:w="15" w:type="dxa"/>
            </w:tcMar>
            <w:vAlign w:val="center"/>
          </w:tcPr>
          <w:p w14:paraId="7E6483A8">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擅自在城市道路上建设建筑物、构筑物</w:t>
            </w:r>
            <w:r>
              <w:rPr>
                <w:rFonts w:hint="default" w:ascii="Times New Roman" w:hAnsi="Times New Roman" w:cs="Times New Roman" w:eastAsiaTheme="minorEastAsia"/>
                <w:color w:val="auto"/>
                <w:kern w:val="0"/>
                <w:sz w:val="18"/>
                <w:szCs w:val="18"/>
                <w:highlight w:val="none"/>
                <w:lang w:eastAsia="zh-CN"/>
              </w:rPr>
              <w:t>的</w:t>
            </w:r>
            <w:r>
              <w:rPr>
                <w:rFonts w:hint="default" w:ascii="Times New Roman" w:hAnsi="Times New Roman" w:cs="Times New Roman" w:eastAsiaTheme="minorEastAsia"/>
                <w:color w:val="auto"/>
                <w:kern w:val="0"/>
                <w:sz w:val="18"/>
                <w:szCs w:val="18"/>
                <w:highlight w:val="none"/>
              </w:rPr>
              <w:t>〔车行道、桥梁设施（含人行天桥、地下通道）除外〕</w:t>
            </w:r>
          </w:p>
        </w:tc>
        <w:tc>
          <w:tcPr>
            <w:tcW w:w="1310" w:type="pct"/>
            <w:gridSpan w:val="2"/>
            <w:vMerge w:val="restart"/>
            <w:shd w:val="clear" w:color="auto" w:fill="auto"/>
            <w:tcMar>
              <w:top w:w="15" w:type="dxa"/>
              <w:left w:w="15" w:type="dxa"/>
              <w:right w:w="15" w:type="dxa"/>
            </w:tcMar>
            <w:vAlign w:val="center"/>
          </w:tcPr>
          <w:p w14:paraId="4F7D5E76">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《城市道路管理条例》第二十七条</w:t>
            </w:r>
            <w:r>
              <w:rPr>
                <w:rFonts w:hint="default" w:ascii="Times New Roman" w:hAnsi="Times New Roman" w:cs="Times New Roman" w:eastAsiaTheme="minorEastAsia"/>
                <w:color w:val="auto"/>
                <w:kern w:val="0"/>
                <w:sz w:val="18"/>
                <w:szCs w:val="18"/>
                <w:highlight w:val="none"/>
                <w:lang w:val="en-US" w:eastAsia="zh-CN"/>
              </w:rPr>
              <w:t>第四项</w:t>
            </w:r>
            <w:r>
              <w:rPr>
                <w:rFonts w:hint="default" w:ascii="Times New Roman" w:hAnsi="Times New Roman" w:cs="Times New Roman" w:eastAsiaTheme="minorEastAsia"/>
                <w:color w:val="auto"/>
                <w:kern w:val="0"/>
                <w:sz w:val="18"/>
                <w:szCs w:val="18"/>
                <w:highlight w:val="none"/>
              </w:rPr>
              <w:t>：“城市道路范围内禁止下列行为：（四）擅自在城市道路上建设建筑物、构筑物</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w:t>
            </w:r>
          </w:p>
          <w:p w14:paraId="43DDAF3A">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c>
          <w:tcPr>
            <w:tcW w:w="1314" w:type="pct"/>
            <w:gridSpan w:val="2"/>
            <w:vMerge w:val="restart"/>
            <w:shd w:val="clear" w:color="auto" w:fill="auto"/>
            <w:tcMar>
              <w:top w:w="15" w:type="dxa"/>
              <w:left w:w="15" w:type="dxa"/>
              <w:right w:w="15" w:type="dxa"/>
            </w:tcMar>
            <w:vAlign w:val="center"/>
          </w:tcPr>
          <w:p w14:paraId="3F727C02">
            <w:pPr>
              <w:widowControl/>
              <w:shd w:val="clear"/>
              <w:jc w:val="left"/>
              <w:textAlignment w:val="center"/>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kern w:val="0"/>
                <w:sz w:val="18"/>
                <w:szCs w:val="18"/>
                <w:highlight w:val="none"/>
              </w:rPr>
              <w:t>《城市道路管理条例》第四十二条：“违反本条例第二十七条规定，或者有下列行为之一的，由市政工程行政主管部门或者其他有关部门责令限期改正，可以处以2万元以下的罚款；造成损失的，应当依法承担赔偿责任：……”</w:t>
            </w:r>
          </w:p>
          <w:p w14:paraId="50F52A6F">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209E87B6">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362E4722">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建设面积5平方米</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lang w:val="en-US" w:eastAsia="zh-CN"/>
              </w:rPr>
              <w:t>;</w:t>
            </w:r>
          </w:p>
          <w:p w14:paraId="69591779">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造成轻微危害后果</w:t>
            </w:r>
          </w:p>
        </w:tc>
        <w:tc>
          <w:tcPr>
            <w:tcW w:w="545" w:type="pct"/>
            <w:gridSpan w:val="2"/>
            <w:shd w:val="clear" w:color="auto" w:fill="auto"/>
            <w:tcMar>
              <w:top w:w="15" w:type="dxa"/>
              <w:left w:w="15" w:type="dxa"/>
              <w:right w:w="15" w:type="dxa"/>
            </w:tcMar>
            <w:vAlign w:val="center"/>
          </w:tcPr>
          <w:p w14:paraId="006B3152">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可以处以</w:t>
            </w:r>
            <w:r>
              <w:rPr>
                <w:rFonts w:hint="default" w:ascii="Times New Roman" w:hAnsi="Times New Roman" w:cs="Times New Roman" w:eastAsiaTheme="minorEastAsia"/>
                <w:color w:val="auto"/>
                <w:kern w:val="0"/>
                <w:sz w:val="18"/>
                <w:szCs w:val="18"/>
                <w:highlight w:val="none"/>
                <w:lang w:val="en-US" w:eastAsia="zh-CN"/>
              </w:rPr>
              <w:t>6000</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restart"/>
            <w:shd w:val="clear" w:color="auto" w:fill="auto"/>
            <w:tcMar>
              <w:top w:w="15" w:type="dxa"/>
              <w:left w:w="15" w:type="dxa"/>
              <w:right w:w="15" w:type="dxa"/>
            </w:tcMar>
            <w:vAlign w:val="center"/>
          </w:tcPr>
          <w:p w14:paraId="757B9A64">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责令限期改正；造成损失的，应当依法承担赔偿责任</w:t>
            </w:r>
          </w:p>
        </w:tc>
        <w:tc>
          <w:tcPr>
            <w:tcW w:w="329" w:type="pct"/>
            <w:gridSpan w:val="2"/>
            <w:vMerge w:val="restart"/>
            <w:shd w:val="clear" w:color="auto" w:fill="auto"/>
            <w:tcMar>
              <w:top w:w="15" w:type="dxa"/>
              <w:left w:w="15" w:type="dxa"/>
              <w:right w:w="15" w:type="dxa"/>
            </w:tcMar>
            <w:vAlign w:val="center"/>
          </w:tcPr>
          <w:p w14:paraId="479CC465">
            <w:pPr>
              <w:shd w:val="clear"/>
              <w:jc w:val="left"/>
              <w:rPr>
                <w:rFonts w:hint="default" w:ascii="Times New Roman" w:hAnsi="Times New Roman" w:cs="Times New Roman" w:eastAsiaTheme="minorEastAsia"/>
                <w:color w:val="auto"/>
                <w:sz w:val="18"/>
                <w:szCs w:val="18"/>
                <w:highlight w:val="none"/>
                <w:lang w:val="en-US" w:eastAsia="zh-CN"/>
              </w:rPr>
            </w:pPr>
          </w:p>
        </w:tc>
      </w:tr>
      <w:tr w14:paraId="1826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625" w:hRule="atLeast"/>
        </w:trPr>
        <w:tc>
          <w:tcPr>
            <w:tcW w:w="116" w:type="pct"/>
            <w:vMerge w:val="continue"/>
            <w:shd w:val="clear" w:color="auto" w:fill="auto"/>
            <w:tcMar>
              <w:top w:w="15" w:type="dxa"/>
              <w:left w:w="15" w:type="dxa"/>
              <w:right w:w="15" w:type="dxa"/>
            </w:tcMar>
            <w:vAlign w:val="center"/>
          </w:tcPr>
          <w:p w14:paraId="7B16E498">
            <w:pPr>
              <w:shd w:val="clear"/>
              <w:jc w:val="left"/>
              <w:rPr>
                <w:rFonts w:hint="default" w:ascii="Times New Roman" w:hAnsi="Times New Roman" w:cs="Times New Roman"/>
                <w:color w:val="auto"/>
                <w:highlight w:val="none"/>
              </w:rPr>
            </w:pPr>
          </w:p>
        </w:tc>
        <w:tc>
          <w:tcPr>
            <w:tcW w:w="411" w:type="pct"/>
            <w:gridSpan w:val="2"/>
            <w:vMerge w:val="continue"/>
            <w:shd w:val="clear" w:color="auto" w:fill="auto"/>
            <w:tcMar>
              <w:top w:w="15" w:type="dxa"/>
              <w:left w:w="15" w:type="dxa"/>
              <w:right w:w="15" w:type="dxa"/>
            </w:tcMar>
            <w:vAlign w:val="center"/>
          </w:tcPr>
          <w:p w14:paraId="09412DE6">
            <w:pPr>
              <w:shd w:val="clear"/>
              <w:jc w:val="left"/>
              <w:rPr>
                <w:rFonts w:hint="default" w:ascii="Times New Roman" w:hAnsi="Times New Roman" w:cs="Times New Roman"/>
                <w:color w:val="auto"/>
                <w:highlight w:val="none"/>
              </w:rPr>
            </w:pPr>
          </w:p>
        </w:tc>
        <w:tc>
          <w:tcPr>
            <w:tcW w:w="1310" w:type="pct"/>
            <w:gridSpan w:val="2"/>
            <w:vMerge w:val="continue"/>
            <w:shd w:val="clear" w:color="auto" w:fill="auto"/>
            <w:tcMar>
              <w:top w:w="15" w:type="dxa"/>
              <w:left w:w="15" w:type="dxa"/>
              <w:right w:w="15" w:type="dxa"/>
            </w:tcMar>
            <w:vAlign w:val="center"/>
          </w:tcPr>
          <w:p w14:paraId="77E588FC">
            <w:pPr>
              <w:shd w:val="clear"/>
              <w:jc w:val="left"/>
              <w:rPr>
                <w:rFonts w:hint="default" w:ascii="Times New Roman" w:hAnsi="Times New Roman" w:cs="Times New Roman"/>
                <w:color w:val="auto"/>
                <w:highlight w:val="none"/>
              </w:rPr>
            </w:pPr>
          </w:p>
        </w:tc>
        <w:tc>
          <w:tcPr>
            <w:tcW w:w="1314" w:type="pct"/>
            <w:gridSpan w:val="2"/>
            <w:vMerge w:val="continue"/>
            <w:shd w:val="clear" w:color="auto" w:fill="auto"/>
            <w:tcMar>
              <w:top w:w="15" w:type="dxa"/>
              <w:left w:w="15" w:type="dxa"/>
              <w:right w:w="15" w:type="dxa"/>
            </w:tcMar>
            <w:vAlign w:val="center"/>
          </w:tcPr>
          <w:p w14:paraId="3C2D286C">
            <w:pPr>
              <w:shd w:val="clear"/>
              <w:jc w:val="left"/>
              <w:rPr>
                <w:rFonts w:hint="default" w:ascii="Times New Roman" w:hAnsi="Times New Roman" w:cs="Times New Roman"/>
                <w:color w:val="auto"/>
                <w:highlight w:val="none"/>
              </w:rPr>
            </w:pPr>
          </w:p>
        </w:tc>
        <w:tc>
          <w:tcPr>
            <w:tcW w:w="177" w:type="pct"/>
            <w:gridSpan w:val="2"/>
            <w:shd w:val="clear" w:color="auto" w:fill="auto"/>
            <w:tcMar>
              <w:top w:w="15" w:type="dxa"/>
              <w:left w:w="15" w:type="dxa"/>
              <w:right w:w="15" w:type="dxa"/>
            </w:tcMar>
            <w:vAlign w:val="center"/>
          </w:tcPr>
          <w:p w14:paraId="2D59D008">
            <w:pPr>
              <w:shd w:val="clear"/>
              <w:jc w:val="left"/>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tcMar>
              <w:top w:w="15" w:type="dxa"/>
              <w:left w:w="15" w:type="dxa"/>
              <w:right w:w="15" w:type="dxa"/>
            </w:tcMar>
            <w:vAlign w:val="center"/>
          </w:tcPr>
          <w:p w14:paraId="25898532">
            <w:pPr>
              <w:shd w:val="clear"/>
              <w:jc w:val="left"/>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建设面积5平方米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10平方米</w:t>
            </w:r>
            <w:r>
              <w:rPr>
                <w:rFonts w:hint="default" w:ascii="Times New Roman" w:hAnsi="Times New Roman" w:cs="Times New Roman" w:eastAsiaTheme="minorEastAsia"/>
                <w:color w:val="auto"/>
                <w:kern w:val="0"/>
                <w:sz w:val="18"/>
                <w:szCs w:val="18"/>
                <w:highlight w:val="none"/>
                <w:lang w:eastAsia="zh-CN"/>
              </w:rPr>
              <w:t>以下；</w:t>
            </w:r>
          </w:p>
          <w:p w14:paraId="24EF9ABF">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造成一般危害后果</w:t>
            </w:r>
          </w:p>
        </w:tc>
        <w:tc>
          <w:tcPr>
            <w:tcW w:w="545" w:type="pct"/>
            <w:gridSpan w:val="2"/>
            <w:shd w:val="clear" w:color="auto" w:fill="auto"/>
            <w:tcMar>
              <w:top w:w="15" w:type="dxa"/>
              <w:left w:w="15" w:type="dxa"/>
              <w:right w:w="15" w:type="dxa"/>
            </w:tcMar>
            <w:vAlign w:val="center"/>
          </w:tcPr>
          <w:p w14:paraId="0A66C8C4">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可以处以</w:t>
            </w:r>
            <w:r>
              <w:rPr>
                <w:rFonts w:hint="default" w:ascii="Times New Roman" w:hAnsi="Times New Roman" w:cs="Times New Roman" w:eastAsiaTheme="minorEastAsia"/>
                <w:color w:val="auto"/>
                <w:kern w:val="0"/>
                <w:sz w:val="18"/>
                <w:szCs w:val="18"/>
                <w:highlight w:val="none"/>
                <w:lang w:val="en-US" w:eastAsia="zh-CN"/>
              </w:rPr>
              <w:t>6000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1.4万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34C6916C">
            <w:pPr>
              <w:shd w:val="clear"/>
              <w:jc w:val="left"/>
              <w:rPr>
                <w:rFonts w:hint="default" w:ascii="Times New Roman" w:hAnsi="Times New Roman" w:cs="Times New Roman" w:eastAsiaTheme="minorEastAsia"/>
                <w:color w:val="auto"/>
                <w:kern w:val="0"/>
                <w:sz w:val="18"/>
                <w:szCs w:val="18"/>
                <w:highlight w:val="none"/>
              </w:rPr>
            </w:pPr>
          </w:p>
        </w:tc>
        <w:tc>
          <w:tcPr>
            <w:tcW w:w="329" w:type="pct"/>
            <w:gridSpan w:val="2"/>
            <w:vMerge w:val="continue"/>
            <w:shd w:val="clear" w:color="auto" w:fill="auto"/>
            <w:tcMar>
              <w:top w:w="15" w:type="dxa"/>
              <w:left w:w="15" w:type="dxa"/>
              <w:right w:w="15" w:type="dxa"/>
            </w:tcMar>
            <w:vAlign w:val="center"/>
          </w:tcPr>
          <w:p w14:paraId="69BF1ECE">
            <w:pPr>
              <w:shd w:val="clear"/>
              <w:jc w:val="left"/>
              <w:rPr>
                <w:rFonts w:hint="default" w:ascii="Times New Roman" w:hAnsi="Times New Roman" w:cs="Times New Roman" w:eastAsiaTheme="minorEastAsia"/>
                <w:color w:val="auto"/>
                <w:kern w:val="0"/>
                <w:sz w:val="18"/>
                <w:szCs w:val="18"/>
                <w:highlight w:val="none"/>
              </w:rPr>
            </w:pPr>
          </w:p>
        </w:tc>
      </w:tr>
      <w:tr w14:paraId="7CB4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625" w:hRule="atLeast"/>
        </w:trPr>
        <w:tc>
          <w:tcPr>
            <w:tcW w:w="116" w:type="pct"/>
            <w:vMerge w:val="continue"/>
            <w:shd w:val="clear" w:color="auto" w:fill="auto"/>
            <w:tcMar>
              <w:top w:w="15" w:type="dxa"/>
              <w:left w:w="15" w:type="dxa"/>
              <w:right w:w="15" w:type="dxa"/>
            </w:tcMar>
            <w:vAlign w:val="center"/>
          </w:tcPr>
          <w:p w14:paraId="15E64337">
            <w:pPr>
              <w:shd w:val="clear"/>
              <w:jc w:val="left"/>
              <w:rPr>
                <w:rFonts w:hint="default" w:ascii="Times New Roman" w:hAnsi="Times New Roman" w:cs="Times New Roman" w:eastAsiaTheme="minorEastAsia"/>
                <w:color w:val="auto"/>
                <w:kern w:val="0"/>
                <w:sz w:val="18"/>
                <w:szCs w:val="18"/>
                <w:highlight w:val="none"/>
              </w:rPr>
            </w:pPr>
          </w:p>
        </w:tc>
        <w:tc>
          <w:tcPr>
            <w:tcW w:w="411" w:type="pct"/>
            <w:gridSpan w:val="2"/>
            <w:vMerge w:val="continue"/>
            <w:shd w:val="clear" w:color="auto" w:fill="auto"/>
            <w:tcMar>
              <w:top w:w="15" w:type="dxa"/>
              <w:left w:w="15" w:type="dxa"/>
              <w:right w:w="15" w:type="dxa"/>
            </w:tcMar>
            <w:vAlign w:val="center"/>
          </w:tcPr>
          <w:p w14:paraId="098F450A">
            <w:pPr>
              <w:shd w:val="clear"/>
              <w:jc w:val="left"/>
              <w:rPr>
                <w:rFonts w:hint="default" w:ascii="Times New Roman" w:hAnsi="Times New Roman" w:cs="Times New Roman" w:eastAsiaTheme="minorEastAsia"/>
                <w:color w:val="auto"/>
                <w:kern w:val="0"/>
                <w:sz w:val="18"/>
                <w:szCs w:val="18"/>
                <w:highlight w:val="none"/>
              </w:rPr>
            </w:pPr>
          </w:p>
        </w:tc>
        <w:tc>
          <w:tcPr>
            <w:tcW w:w="1310" w:type="pct"/>
            <w:gridSpan w:val="2"/>
            <w:vMerge w:val="continue"/>
            <w:shd w:val="clear" w:color="auto" w:fill="auto"/>
            <w:tcMar>
              <w:top w:w="15" w:type="dxa"/>
              <w:left w:w="15" w:type="dxa"/>
              <w:right w:w="15" w:type="dxa"/>
            </w:tcMar>
            <w:vAlign w:val="center"/>
          </w:tcPr>
          <w:p w14:paraId="1D92E346">
            <w:pPr>
              <w:shd w:val="clear"/>
              <w:jc w:val="left"/>
              <w:rPr>
                <w:rFonts w:hint="default" w:ascii="Times New Roman" w:hAnsi="Times New Roman" w:cs="Times New Roman" w:eastAsiaTheme="minorEastAsia"/>
                <w:color w:val="auto"/>
                <w:kern w:val="0"/>
                <w:sz w:val="18"/>
                <w:szCs w:val="18"/>
                <w:highlight w:val="none"/>
              </w:rPr>
            </w:pPr>
          </w:p>
        </w:tc>
        <w:tc>
          <w:tcPr>
            <w:tcW w:w="1314" w:type="pct"/>
            <w:gridSpan w:val="2"/>
            <w:vMerge w:val="continue"/>
            <w:shd w:val="clear" w:color="auto" w:fill="auto"/>
            <w:tcMar>
              <w:top w:w="15" w:type="dxa"/>
              <w:left w:w="15" w:type="dxa"/>
              <w:right w:w="15" w:type="dxa"/>
            </w:tcMar>
            <w:vAlign w:val="center"/>
          </w:tcPr>
          <w:p w14:paraId="29CDEA35">
            <w:pPr>
              <w:shd w:val="clear"/>
              <w:jc w:val="left"/>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tcMar>
              <w:top w:w="15" w:type="dxa"/>
              <w:left w:w="15" w:type="dxa"/>
              <w:right w:w="15" w:type="dxa"/>
            </w:tcMar>
            <w:vAlign w:val="center"/>
          </w:tcPr>
          <w:p w14:paraId="168C1390">
            <w:pPr>
              <w:shd w:val="clear"/>
              <w:jc w:val="left"/>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0E0453BE">
            <w:pPr>
              <w:shd w:val="clear"/>
              <w:jc w:val="left"/>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建设面积10平方米</w:t>
            </w:r>
            <w:r>
              <w:rPr>
                <w:rFonts w:hint="default" w:ascii="Times New Roman" w:hAnsi="Times New Roman" w:cs="Times New Roman" w:eastAsiaTheme="minorEastAsia"/>
                <w:color w:val="auto"/>
                <w:kern w:val="0"/>
                <w:sz w:val="18"/>
                <w:szCs w:val="18"/>
                <w:highlight w:val="none"/>
                <w:lang w:eastAsia="zh-CN"/>
              </w:rPr>
              <w:t>以上；</w:t>
            </w:r>
          </w:p>
          <w:p w14:paraId="56DB665C">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造成严重危害后果</w:t>
            </w:r>
          </w:p>
        </w:tc>
        <w:tc>
          <w:tcPr>
            <w:tcW w:w="545" w:type="pct"/>
            <w:gridSpan w:val="2"/>
            <w:shd w:val="clear" w:color="auto" w:fill="auto"/>
            <w:tcMar>
              <w:top w:w="15" w:type="dxa"/>
              <w:left w:w="15" w:type="dxa"/>
              <w:right w:w="15" w:type="dxa"/>
            </w:tcMar>
            <w:vAlign w:val="center"/>
          </w:tcPr>
          <w:p w14:paraId="6D369462">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可以处以</w:t>
            </w:r>
            <w:r>
              <w:rPr>
                <w:rFonts w:hint="default" w:ascii="Times New Roman" w:hAnsi="Times New Roman" w:cs="Times New Roman" w:eastAsiaTheme="minorEastAsia"/>
                <w:color w:val="auto"/>
                <w:kern w:val="0"/>
                <w:sz w:val="18"/>
                <w:szCs w:val="18"/>
                <w:highlight w:val="none"/>
                <w:lang w:val="en-US" w:eastAsia="zh-CN"/>
              </w:rPr>
              <w:t>1.4万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2万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2A39A52E">
            <w:pPr>
              <w:shd w:val="clear"/>
              <w:jc w:val="left"/>
              <w:rPr>
                <w:rFonts w:hint="default" w:ascii="Times New Roman" w:hAnsi="Times New Roman" w:cs="Times New Roman" w:eastAsiaTheme="minorEastAsia"/>
                <w:color w:val="auto"/>
                <w:kern w:val="0"/>
                <w:sz w:val="18"/>
                <w:szCs w:val="18"/>
                <w:highlight w:val="none"/>
              </w:rPr>
            </w:pPr>
          </w:p>
        </w:tc>
        <w:tc>
          <w:tcPr>
            <w:tcW w:w="329" w:type="pct"/>
            <w:gridSpan w:val="2"/>
            <w:vMerge w:val="continue"/>
            <w:shd w:val="clear" w:color="auto" w:fill="auto"/>
            <w:tcMar>
              <w:top w:w="15" w:type="dxa"/>
              <w:left w:w="15" w:type="dxa"/>
              <w:right w:w="15" w:type="dxa"/>
            </w:tcMar>
            <w:vAlign w:val="center"/>
          </w:tcPr>
          <w:p w14:paraId="7C6296B8">
            <w:pPr>
              <w:shd w:val="clear"/>
              <w:jc w:val="left"/>
              <w:rPr>
                <w:rFonts w:hint="default" w:ascii="Times New Roman" w:hAnsi="Times New Roman" w:cs="Times New Roman" w:eastAsiaTheme="minorEastAsia"/>
                <w:color w:val="auto"/>
                <w:kern w:val="0"/>
                <w:sz w:val="18"/>
                <w:szCs w:val="18"/>
                <w:highlight w:val="none"/>
              </w:rPr>
            </w:pPr>
          </w:p>
        </w:tc>
      </w:tr>
      <w:tr w14:paraId="70EE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758" w:hRule="atLeast"/>
        </w:trPr>
        <w:tc>
          <w:tcPr>
            <w:tcW w:w="116" w:type="pct"/>
            <w:vMerge w:val="restart"/>
            <w:shd w:val="clear" w:color="auto" w:fill="auto"/>
            <w:tcMar>
              <w:top w:w="15" w:type="dxa"/>
              <w:left w:w="15" w:type="dxa"/>
              <w:right w:w="15" w:type="dxa"/>
            </w:tcMar>
            <w:vAlign w:val="center"/>
          </w:tcPr>
          <w:p w14:paraId="1919C008">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104</w:t>
            </w:r>
          </w:p>
        </w:tc>
        <w:tc>
          <w:tcPr>
            <w:tcW w:w="411" w:type="pct"/>
            <w:gridSpan w:val="2"/>
            <w:vMerge w:val="restart"/>
            <w:shd w:val="clear" w:color="auto" w:fill="auto"/>
            <w:tcMar>
              <w:top w:w="15" w:type="dxa"/>
              <w:left w:w="15" w:type="dxa"/>
              <w:right w:w="15" w:type="dxa"/>
            </w:tcMar>
            <w:vAlign w:val="center"/>
          </w:tcPr>
          <w:p w14:paraId="694B3406">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擅自在路灯设施上设置广告牌或者其他挂浮物</w:t>
            </w:r>
            <w:r>
              <w:rPr>
                <w:rFonts w:hint="default" w:ascii="Times New Roman" w:hAnsi="Times New Roman" w:cs="Times New Roman" w:eastAsiaTheme="minorEastAsia"/>
                <w:color w:val="auto"/>
                <w:kern w:val="0"/>
                <w:sz w:val="18"/>
                <w:szCs w:val="18"/>
                <w:highlight w:val="none"/>
                <w:lang w:eastAsia="zh-CN"/>
              </w:rPr>
              <w:t>的</w:t>
            </w:r>
            <w:r>
              <w:rPr>
                <w:rFonts w:hint="default" w:ascii="Times New Roman" w:hAnsi="Times New Roman" w:cs="Times New Roman" w:eastAsiaTheme="minorEastAsia"/>
                <w:color w:val="auto"/>
                <w:kern w:val="0"/>
                <w:sz w:val="18"/>
                <w:szCs w:val="18"/>
                <w:highlight w:val="none"/>
              </w:rPr>
              <w:t>〔车行道、桥梁设施（含人行天桥、地下通道）除外〕</w:t>
            </w:r>
          </w:p>
        </w:tc>
        <w:tc>
          <w:tcPr>
            <w:tcW w:w="1310" w:type="pct"/>
            <w:gridSpan w:val="2"/>
            <w:vMerge w:val="restart"/>
            <w:shd w:val="clear" w:color="auto" w:fill="auto"/>
            <w:tcMar>
              <w:top w:w="15" w:type="dxa"/>
              <w:left w:w="15" w:type="dxa"/>
              <w:right w:w="15" w:type="dxa"/>
            </w:tcMar>
            <w:vAlign w:val="center"/>
          </w:tcPr>
          <w:p w14:paraId="3FCFDD1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《城市道路管理条例》第二十七条</w:t>
            </w:r>
            <w:r>
              <w:rPr>
                <w:rFonts w:hint="default" w:ascii="Times New Roman" w:hAnsi="Times New Roman" w:cs="Times New Roman" w:eastAsiaTheme="minorEastAsia"/>
                <w:color w:val="auto"/>
                <w:kern w:val="0"/>
                <w:sz w:val="18"/>
                <w:szCs w:val="18"/>
                <w:highlight w:val="none"/>
                <w:lang w:eastAsia="zh-CN"/>
              </w:rPr>
              <w:t>第六项</w:t>
            </w:r>
            <w:r>
              <w:rPr>
                <w:rFonts w:hint="default" w:ascii="Times New Roman" w:hAnsi="Times New Roman" w:cs="Times New Roman" w:eastAsiaTheme="minorEastAsia"/>
                <w:color w:val="auto"/>
                <w:kern w:val="0"/>
                <w:sz w:val="18"/>
                <w:szCs w:val="18"/>
                <w:highlight w:val="none"/>
              </w:rPr>
              <w:t>：“城市道路范围内禁止下列行为：（六）擅自在桥梁或者路灯设施上设置广告牌或者其他挂浮物；”</w:t>
            </w:r>
          </w:p>
        </w:tc>
        <w:tc>
          <w:tcPr>
            <w:tcW w:w="1314" w:type="pct"/>
            <w:gridSpan w:val="2"/>
            <w:vMerge w:val="restart"/>
            <w:shd w:val="clear" w:color="auto" w:fill="auto"/>
            <w:tcMar>
              <w:top w:w="15" w:type="dxa"/>
              <w:left w:w="15" w:type="dxa"/>
              <w:right w:w="15" w:type="dxa"/>
            </w:tcMar>
            <w:vAlign w:val="center"/>
          </w:tcPr>
          <w:p w14:paraId="534FF46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道路管理条例》第四十二条：“违反本条例第二十七条规定，或者有下列行为之一的，由市政工程行政主管部门或者其他有关部门责令限期改正，可以处以2万元以下的罚款；造成损失的，应当依法承担赔偿责任：……”</w:t>
            </w:r>
          </w:p>
        </w:tc>
        <w:tc>
          <w:tcPr>
            <w:tcW w:w="177" w:type="pct"/>
            <w:gridSpan w:val="2"/>
            <w:shd w:val="clear" w:color="auto" w:fill="auto"/>
            <w:tcMar>
              <w:top w:w="15" w:type="dxa"/>
              <w:left w:w="15" w:type="dxa"/>
              <w:right w:w="15" w:type="dxa"/>
            </w:tcMar>
            <w:vAlign w:val="center"/>
          </w:tcPr>
          <w:p w14:paraId="0BD3FDA7">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73C5F5D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单体面积5平方米</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rPr>
              <w:t>，或5处</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420A552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可以处以</w:t>
            </w:r>
            <w:r>
              <w:rPr>
                <w:rFonts w:hint="default" w:ascii="Times New Roman" w:hAnsi="Times New Roman" w:cs="Times New Roman" w:eastAsiaTheme="minorEastAsia"/>
                <w:color w:val="auto"/>
                <w:kern w:val="0"/>
                <w:sz w:val="18"/>
                <w:szCs w:val="18"/>
                <w:highlight w:val="none"/>
                <w:lang w:val="en-US" w:eastAsia="zh-CN"/>
              </w:rPr>
              <w:t>6000</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restart"/>
            <w:shd w:val="clear" w:color="auto" w:fill="auto"/>
            <w:tcMar>
              <w:top w:w="15" w:type="dxa"/>
              <w:left w:w="15" w:type="dxa"/>
              <w:right w:w="15" w:type="dxa"/>
            </w:tcMar>
            <w:vAlign w:val="center"/>
          </w:tcPr>
          <w:p w14:paraId="5D21233E">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责令限期改正；造成损失的，应当依法承担赔偿责任</w:t>
            </w:r>
          </w:p>
          <w:p w14:paraId="3BC0A73D">
            <w:pPr>
              <w:widowControl/>
              <w:shd w:val="clear"/>
              <w:jc w:val="left"/>
              <w:textAlignment w:val="center"/>
              <w:rPr>
                <w:rFonts w:hint="default" w:ascii="Times New Roman" w:hAnsi="Times New Roman" w:cs="Times New Roman" w:eastAsiaTheme="minorEastAsia"/>
                <w:color w:val="auto"/>
                <w:sz w:val="18"/>
                <w:szCs w:val="18"/>
                <w:highlight w:val="none"/>
              </w:rPr>
            </w:pPr>
          </w:p>
          <w:p w14:paraId="0EAC78B8">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3F0245F8">
            <w:pPr>
              <w:shd w:val="clear"/>
              <w:jc w:val="left"/>
              <w:rPr>
                <w:rFonts w:hint="default" w:ascii="Times New Roman" w:hAnsi="Times New Roman" w:cs="Times New Roman" w:eastAsiaTheme="minorEastAsia"/>
                <w:color w:val="auto"/>
                <w:sz w:val="18"/>
                <w:szCs w:val="18"/>
                <w:highlight w:val="none"/>
                <w:lang w:val="en-US" w:eastAsia="zh-CN"/>
              </w:rPr>
            </w:pPr>
          </w:p>
        </w:tc>
      </w:tr>
      <w:tr w14:paraId="6CDC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863" w:hRule="atLeast"/>
        </w:trPr>
        <w:tc>
          <w:tcPr>
            <w:tcW w:w="116" w:type="pct"/>
            <w:vMerge w:val="continue"/>
            <w:shd w:val="clear" w:color="auto" w:fill="auto"/>
            <w:tcMar>
              <w:top w:w="15" w:type="dxa"/>
              <w:left w:w="15" w:type="dxa"/>
              <w:right w:w="15" w:type="dxa"/>
            </w:tcMar>
            <w:vAlign w:val="center"/>
          </w:tcPr>
          <w:p w14:paraId="63388BA0">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4083238D">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5012EA06">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3BDEF403">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52D3C7A4">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4D2F3E9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单体面积5平方米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10平方米</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rPr>
              <w:t>，或5处</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10处</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58887B4A">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可以处以</w:t>
            </w:r>
            <w:r>
              <w:rPr>
                <w:rFonts w:hint="default" w:ascii="Times New Roman" w:hAnsi="Times New Roman" w:cs="Times New Roman" w:eastAsiaTheme="minorEastAsia"/>
                <w:color w:val="auto"/>
                <w:kern w:val="0"/>
                <w:sz w:val="18"/>
                <w:szCs w:val="18"/>
                <w:highlight w:val="none"/>
                <w:lang w:val="en-US" w:eastAsia="zh-CN"/>
              </w:rPr>
              <w:t>6000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1.4</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31ECDD86">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7006B592">
            <w:pPr>
              <w:shd w:val="clear"/>
              <w:jc w:val="left"/>
              <w:rPr>
                <w:rFonts w:hint="default" w:ascii="Times New Roman" w:hAnsi="Times New Roman" w:cs="Times New Roman" w:eastAsiaTheme="minorEastAsia"/>
                <w:color w:val="auto"/>
                <w:sz w:val="18"/>
                <w:szCs w:val="18"/>
                <w:highlight w:val="none"/>
              </w:rPr>
            </w:pPr>
          </w:p>
        </w:tc>
      </w:tr>
      <w:tr w14:paraId="1517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863" w:hRule="atLeast"/>
        </w:trPr>
        <w:tc>
          <w:tcPr>
            <w:tcW w:w="116" w:type="pct"/>
            <w:vMerge w:val="continue"/>
            <w:shd w:val="clear" w:color="auto" w:fill="auto"/>
            <w:tcMar>
              <w:top w:w="15" w:type="dxa"/>
              <w:left w:w="15" w:type="dxa"/>
              <w:right w:w="15" w:type="dxa"/>
            </w:tcMar>
            <w:vAlign w:val="center"/>
          </w:tcPr>
          <w:p w14:paraId="5B5381A6">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78E7DCCC">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4BC61CC0">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41BC9B45">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1552E086">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3ECF369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单体面积10平方米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，或10处</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7C5115A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可以处以</w:t>
            </w:r>
            <w:r>
              <w:rPr>
                <w:rFonts w:hint="default" w:ascii="Times New Roman" w:hAnsi="Times New Roman" w:cs="Times New Roman" w:eastAsiaTheme="minorEastAsia"/>
                <w:color w:val="auto"/>
                <w:kern w:val="0"/>
                <w:sz w:val="18"/>
                <w:szCs w:val="18"/>
                <w:highlight w:val="none"/>
                <w:lang w:val="en-US" w:eastAsia="zh-CN"/>
              </w:rPr>
              <w:t>1.4</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2万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2C2C0C73">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66D3D6B8">
            <w:pPr>
              <w:shd w:val="clear"/>
              <w:jc w:val="left"/>
              <w:rPr>
                <w:rFonts w:hint="default" w:ascii="Times New Roman" w:hAnsi="Times New Roman" w:cs="Times New Roman" w:eastAsiaTheme="minorEastAsia"/>
                <w:color w:val="auto"/>
                <w:sz w:val="18"/>
                <w:szCs w:val="18"/>
                <w:highlight w:val="none"/>
              </w:rPr>
            </w:pPr>
          </w:p>
        </w:tc>
      </w:tr>
      <w:tr w14:paraId="7774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960" w:hRule="atLeast"/>
        </w:trPr>
        <w:tc>
          <w:tcPr>
            <w:tcW w:w="116" w:type="pct"/>
            <w:vMerge w:val="restart"/>
            <w:shd w:val="clear" w:color="auto" w:fill="auto"/>
            <w:tcMar>
              <w:top w:w="15" w:type="dxa"/>
              <w:left w:w="15" w:type="dxa"/>
              <w:right w:w="15" w:type="dxa"/>
            </w:tcMar>
            <w:vAlign w:val="center"/>
          </w:tcPr>
          <w:p w14:paraId="457ABECC">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sz w:val="18"/>
                <w:szCs w:val="18"/>
                <w:highlight w:val="none"/>
                <w:lang w:val="en-US" w:eastAsia="zh-CN"/>
              </w:rPr>
              <w:t>105</w:t>
            </w:r>
          </w:p>
        </w:tc>
        <w:tc>
          <w:tcPr>
            <w:tcW w:w="411" w:type="pct"/>
            <w:gridSpan w:val="2"/>
            <w:vMerge w:val="restart"/>
            <w:shd w:val="clear" w:color="auto" w:fill="auto"/>
            <w:tcMar>
              <w:top w:w="15" w:type="dxa"/>
              <w:left w:w="15" w:type="dxa"/>
              <w:right w:w="15" w:type="dxa"/>
            </w:tcMar>
            <w:vAlign w:val="center"/>
          </w:tcPr>
          <w:p w14:paraId="4C3EDB05">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其他损害、侵占城市道路行为〔车行道、桥梁设施（含人行天桥、地下通道）除外〕</w:t>
            </w:r>
          </w:p>
        </w:tc>
        <w:tc>
          <w:tcPr>
            <w:tcW w:w="1310" w:type="pct"/>
            <w:gridSpan w:val="2"/>
            <w:vMerge w:val="restart"/>
            <w:shd w:val="clear" w:color="auto" w:fill="auto"/>
            <w:tcMar>
              <w:top w:w="15" w:type="dxa"/>
              <w:left w:w="15" w:type="dxa"/>
              <w:right w:w="15" w:type="dxa"/>
            </w:tcMar>
            <w:vAlign w:val="center"/>
          </w:tcPr>
          <w:p w14:paraId="7C98C1C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《城市道路管理条例》第二十七条</w:t>
            </w:r>
            <w:r>
              <w:rPr>
                <w:rFonts w:hint="default" w:ascii="Times New Roman" w:hAnsi="Times New Roman" w:cs="Times New Roman" w:eastAsiaTheme="minorEastAsia"/>
                <w:color w:val="auto"/>
                <w:kern w:val="0"/>
                <w:sz w:val="18"/>
                <w:szCs w:val="18"/>
                <w:highlight w:val="none"/>
                <w:lang w:eastAsia="zh-CN"/>
              </w:rPr>
              <w:t>第七项</w:t>
            </w:r>
            <w:r>
              <w:rPr>
                <w:rFonts w:hint="default" w:ascii="Times New Roman" w:hAnsi="Times New Roman" w:cs="Times New Roman" w:eastAsiaTheme="minorEastAsia"/>
                <w:color w:val="auto"/>
                <w:kern w:val="0"/>
                <w:sz w:val="18"/>
                <w:szCs w:val="18"/>
                <w:highlight w:val="none"/>
              </w:rPr>
              <w:t>：“城市道路范围内禁止下列行为： (七)其他损害、侵占城市道路的行为。”</w:t>
            </w:r>
          </w:p>
        </w:tc>
        <w:tc>
          <w:tcPr>
            <w:tcW w:w="1314" w:type="pct"/>
            <w:gridSpan w:val="2"/>
            <w:vMerge w:val="restart"/>
            <w:shd w:val="clear" w:color="auto" w:fill="auto"/>
            <w:tcMar>
              <w:top w:w="15" w:type="dxa"/>
              <w:left w:w="15" w:type="dxa"/>
              <w:right w:w="15" w:type="dxa"/>
            </w:tcMar>
            <w:vAlign w:val="center"/>
          </w:tcPr>
          <w:p w14:paraId="763C1607">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道路管理条例》第四十二条：“违反本条例第二十七条规定，或者有下列行为之一的，由市政工程行政主管部门或者其他有关部门责令限期改正，可以处以2万元以下的罚款；造成损失的，应当依法承担赔偿责任：……”</w:t>
            </w:r>
          </w:p>
        </w:tc>
        <w:tc>
          <w:tcPr>
            <w:tcW w:w="177" w:type="pct"/>
            <w:gridSpan w:val="2"/>
            <w:shd w:val="clear" w:color="auto" w:fill="auto"/>
            <w:tcMar>
              <w:top w:w="15" w:type="dxa"/>
              <w:left w:w="15" w:type="dxa"/>
              <w:right w:w="15" w:type="dxa"/>
            </w:tcMar>
            <w:vAlign w:val="center"/>
          </w:tcPr>
          <w:p w14:paraId="5130D5D1">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5F3D7842">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val="en-US" w:eastAsia="zh-CN"/>
              </w:rPr>
              <w:t>3次以下</w:t>
            </w:r>
            <w:r>
              <w:rPr>
                <w:rFonts w:hint="default" w:ascii="Times New Roman" w:hAnsi="Times New Roman" w:cs="Times New Roman" w:eastAsiaTheme="minorEastAsia"/>
                <w:color w:val="auto"/>
                <w:kern w:val="0"/>
                <w:sz w:val="18"/>
                <w:szCs w:val="18"/>
                <w:highlight w:val="none"/>
                <w:lang w:eastAsia="zh-CN"/>
              </w:rPr>
              <w:t>同类违法行为且未造成城市道路设施损坏或交通安全事故等严重危害后果；</w:t>
            </w:r>
          </w:p>
          <w:p w14:paraId="38479A9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损害、侵占</w:t>
            </w:r>
            <w:r>
              <w:rPr>
                <w:rFonts w:hint="default" w:ascii="Times New Roman" w:hAnsi="Times New Roman" w:cs="Times New Roman" w:eastAsiaTheme="minorEastAsia"/>
                <w:color w:val="auto"/>
                <w:kern w:val="0"/>
                <w:sz w:val="18"/>
                <w:szCs w:val="18"/>
                <w:highlight w:val="none"/>
              </w:rPr>
              <w:t>面积10平方米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242049F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可以处以</w:t>
            </w:r>
            <w:r>
              <w:rPr>
                <w:rFonts w:hint="default" w:ascii="Times New Roman" w:hAnsi="Times New Roman" w:cs="Times New Roman" w:eastAsiaTheme="minorEastAsia"/>
                <w:color w:val="auto"/>
                <w:kern w:val="0"/>
                <w:sz w:val="18"/>
                <w:szCs w:val="18"/>
                <w:highlight w:val="none"/>
                <w:lang w:val="en-US" w:eastAsia="zh-CN"/>
              </w:rPr>
              <w:t>6000</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restart"/>
            <w:shd w:val="clear" w:color="auto" w:fill="auto"/>
            <w:tcMar>
              <w:top w:w="15" w:type="dxa"/>
              <w:left w:w="15" w:type="dxa"/>
              <w:right w:w="15" w:type="dxa"/>
            </w:tcMar>
            <w:vAlign w:val="center"/>
          </w:tcPr>
          <w:p w14:paraId="7D0F973B">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责令限期改正；造成损失的，应当依法承担赔偿责任</w:t>
            </w:r>
          </w:p>
          <w:p w14:paraId="14154285">
            <w:pPr>
              <w:widowControl/>
              <w:shd w:val="clear"/>
              <w:jc w:val="left"/>
              <w:textAlignment w:val="center"/>
              <w:rPr>
                <w:rFonts w:hint="default" w:ascii="Times New Roman" w:hAnsi="Times New Roman" w:cs="Times New Roman" w:eastAsiaTheme="minorEastAsia"/>
                <w:color w:val="auto"/>
                <w:sz w:val="18"/>
                <w:szCs w:val="18"/>
                <w:highlight w:val="none"/>
              </w:rPr>
            </w:pPr>
          </w:p>
          <w:p w14:paraId="7C839C70">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4DC77A30">
            <w:pPr>
              <w:shd w:val="clear"/>
              <w:jc w:val="left"/>
              <w:rPr>
                <w:rFonts w:hint="default" w:ascii="Times New Roman" w:hAnsi="Times New Roman" w:cs="Times New Roman" w:eastAsiaTheme="minorEastAsia"/>
                <w:color w:val="auto"/>
                <w:sz w:val="18"/>
                <w:szCs w:val="18"/>
                <w:highlight w:val="none"/>
                <w:lang w:val="en-US" w:eastAsia="zh-CN"/>
              </w:rPr>
            </w:pPr>
          </w:p>
        </w:tc>
      </w:tr>
      <w:tr w14:paraId="5D187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644" w:hRule="atLeast"/>
        </w:trPr>
        <w:tc>
          <w:tcPr>
            <w:tcW w:w="116" w:type="pct"/>
            <w:vMerge w:val="continue"/>
            <w:shd w:val="clear" w:color="auto" w:fill="auto"/>
            <w:tcMar>
              <w:top w:w="15" w:type="dxa"/>
              <w:left w:w="15" w:type="dxa"/>
              <w:right w:w="15" w:type="dxa"/>
            </w:tcMar>
            <w:vAlign w:val="center"/>
          </w:tcPr>
          <w:p w14:paraId="3E71EC39">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2A2B9B74">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F9417D7">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4CCE632F">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5C8D56E4">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1C233B1B">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损害、侵占</w:t>
            </w:r>
            <w:r>
              <w:rPr>
                <w:rFonts w:hint="default" w:ascii="Times New Roman" w:hAnsi="Times New Roman" w:cs="Times New Roman" w:eastAsiaTheme="minorEastAsia"/>
                <w:color w:val="auto"/>
                <w:kern w:val="0"/>
                <w:sz w:val="18"/>
                <w:szCs w:val="18"/>
                <w:highlight w:val="none"/>
              </w:rPr>
              <w:t>面积10平方米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20平方米</w:t>
            </w:r>
            <w:r>
              <w:rPr>
                <w:rFonts w:hint="default" w:ascii="Times New Roman" w:hAnsi="Times New Roman" w:cs="Times New Roman" w:eastAsiaTheme="minorEastAsia"/>
                <w:color w:val="auto"/>
                <w:kern w:val="0"/>
                <w:sz w:val="18"/>
                <w:szCs w:val="18"/>
                <w:highlight w:val="none"/>
                <w:lang w:eastAsia="zh-CN"/>
              </w:rPr>
              <w:t>以下；</w:t>
            </w:r>
          </w:p>
          <w:p w14:paraId="655DE28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3次以上同类违法行为</w:t>
            </w:r>
            <w:r>
              <w:rPr>
                <w:rFonts w:hint="default" w:ascii="Times New Roman" w:hAnsi="Times New Roman" w:cs="Times New Roman" w:eastAsiaTheme="minorEastAsia"/>
                <w:color w:val="auto"/>
                <w:kern w:val="0"/>
                <w:sz w:val="18"/>
                <w:szCs w:val="18"/>
                <w:highlight w:val="none"/>
              </w:rPr>
              <w:t>且未造成城市道路设施损坏或交通安全事故等严重危害后果</w:t>
            </w:r>
          </w:p>
        </w:tc>
        <w:tc>
          <w:tcPr>
            <w:tcW w:w="545" w:type="pct"/>
            <w:gridSpan w:val="2"/>
            <w:shd w:val="clear" w:color="auto" w:fill="auto"/>
            <w:tcMar>
              <w:top w:w="15" w:type="dxa"/>
              <w:left w:w="15" w:type="dxa"/>
              <w:right w:w="15" w:type="dxa"/>
            </w:tcMar>
            <w:vAlign w:val="center"/>
          </w:tcPr>
          <w:p w14:paraId="1368318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可以处以</w:t>
            </w:r>
            <w:r>
              <w:rPr>
                <w:rFonts w:hint="default" w:ascii="Times New Roman" w:hAnsi="Times New Roman" w:cs="Times New Roman" w:eastAsiaTheme="minorEastAsia"/>
                <w:color w:val="auto"/>
                <w:kern w:val="0"/>
                <w:sz w:val="18"/>
                <w:szCs w:val="18"/>
                <w:highlight w:val="none"/>
                <w:lang w:val="en-US" w:eastAsia="zh-CN"/>
              </w:rPr>
              <w:t>6000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1.4</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234E3122">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62744D62">
            <w:pPr>
              <w:shd w:val="clear"/>
              <w:jc w:val="left"/>
              <w:rPr>
                <w:rFonts w:hint="default" w:ascii="Times New Roman" w:hAnsi="Times New Roman" w:cs="Times New Roman" w:eastAsiaTheme="minorEastAsia"/>
                <w:color w:val="auto"/>
                <w:sz w:val="18"/>
                <w:szCs w:val="18"/>
                <w:highlight w:val="none"/>
              </w:rPr>
            </w:pPr>
          </w:p>
        </w:tc>
      </w:tr>
      <w:tr w14:paraId="392A4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817" w:hRule="atLeast"/>
        </w:trPr>
        <w:tc>
          <w:tcPr>
            <w:tcW w:w="116" w:type="pct"/>
            <w:vMerge w:val="continue"/>
            <w:shd w:val="clear" w:color="auto" w:fill="auto"/>
            <w:tcMar>
              <w:top w:w="15" w:type="dxa"/>
              <w:left w:w="15" w:type="dxa"/>
              <w:right w:w="15" w:type="dxa"/>
            </w:tcMar>
            <w:vAlign w:val="center"/>
          </w:tcPr>
          <w:p w14:paraId="7900B190">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66D9CCF1">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BAAAB0B">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11E501A5">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08B496E5">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299D03E8">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侵害、侵占</w:t>
            </w:r>
            <w:r>
              <w:rPr>
                <w:rFonts w:hint="default" w:ascii="Times New Roman" w:hAnsi="Times New Roman" w:cs="Times New Roman" w:eastAsiaTheme="minorEastAsia"/>
                <w:color w:val="auto"/>
                <w:kern w:val="0"/>
                <w:sz w:val="18"/>
                <w:szCs w:val="18"/>
                <w:highlight w:val="none"/>
              </w:rPr>
              <w:t>面积20平方米</w:t>
            </w:r>
            <w:r>
              <w:rPr>
                <w:rFonts w:hint="default" w:ascii="Times New Roman" w:hAnsi="Times New Roman" w:cs="Times New Roman" w:eastAsiaTheme="minorEastAsia"/>
                <w:color w:val="auto"/>
                <w:kern w:val="0"/>
                <w:sz w:val="18"/>
                <w:szCs w:val="18"/>
                <w:highlight w:val="none"/>
                <w:lang w:eastAsia="zh-CN"/>
              </w:rPr>
              <w:t>以上；</w:t>
            </w:r>
          </w:p>
          <w:p w14:paraId="7201A981">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已</w:t>
            </w:r>
            <w:r>
              <w:rPr>
                <w:rFonts w:hint="default" w:ascii="Times New Roman" w:hAnsi="Times New Roman" w:cs="Times New Roman" w:eastAsiaTheme="minorEastAsia"/>
                <w:color w:val="auto"/>
                <w:kern w:val="0"/>
                <w:sz w:val="18"/>
                <w:szCs w:val="18"/>
                <w:highlight w:val="none"/>
              </w:rPr>
              <w:t>造成城市道路设施损坏或交通安全事故等严重危害后果</w:t>
            </w:r>
          </w:p>
        </w:tc>
        <w:tc>
          <w:tcPr>
            <w:tcW w:w="545" w:type="pct"/>
            <w:gridSpan w:val="2"/>
            <w:shd w:val="clear" w:color="auto" w:fill="auto"/>
            <w:tcMar>
              <w:top w:w="15" w:type="dxa"/>
              <w:left w:w="15" w:type="dxa"/>
              <w:right w:w="15" w:type="dxa"/>
            </w:tcMar>
            <w:vAlign w:val="center"/>
          </w:tcPr>
          <w:p w14:paraId="6B716836">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可以处以</w:t>
            </w:r>
            <w:r>
              <w:rPr>
                <w:rFonts w:hint="default" w:ascii="Times New Roman" w:hAnsi="Times New Roman" w:cs="Times New Roman" w:eastAsiaTheme="minorEastAsia"/>
                <w:color w:val="auto"/>
                <w:kern w:val="0"/>
                <w:sz w:val="18"/>
                <w:szCs w:val="18"/>
                <w:highlight w:val="none"/>
                <w:lang w:val="en-US" w:eastAsia="zh-CN"/>
              </w:rPr>
              <w:t>1.4</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2万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7DB93CC0">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243DDFA7">
            <w:pPr>
              <w:shd w:val="clear"/>
              <w:jc w:val="left"/>
              <w:rPr>
                <w:rFonts w:hint="default" w:ascii="Times New Roman" w:hAnsi="Times New Roman" w:cs="Times New Roman" w:eastAsiaTheme="minorEastAsia"/>
                <w:color w:val="auto"/>
                <w:sz w:val="18"/>
                <w:szCs w:val="18"/>
                <w:highlight w:val="none"/>
              </w:rPr>
            </w:pPr>
          </w:p>
        </w:tc>
      </w:tr>
      <w:tr w14:paraId="0C02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945" w:hRule="atLeast"/>
        </w:trPr>
        <w:tc>
          <w:tcPr>
            <w:tcW w:w="116" w:type="pct"/>
            <w:vMerge w:val="restart"/>
            <w:shd w:val="clear" w:color="auto" w:fill="auto"/>
            <w:tcMar>
              <w:top w:w="15" w:type="dxa"/>
              <w:left w:w="15" w:type="dxa"/>
              <w:right w:w="15" w:type="dxa"/>
            </w:tcMar>
            <w:vAlign w:val="center"/>
          </w:tcPr>
          <w:p w14:paraId="28574DAF">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106</w:t>
            </w:r>
          </w:p>
        </w:tc>
        <w:tc>
          <w:tcPr>
            <w:tcW w:w="411" w:type="pct"/>
            <w:gridSpan w:val="2"/>
            <w:vMerge w:val="restart"/>
            <w:shd w:val="clear" w:color="auto" w:fill="auto"/>
            <w:tcMar>
              <w:top w:w="15" w:type="dxa"/>
              <w:left w:w="15" w:type="dxa"/>
              <w:right w:w="15" w:type="dxa"/>
            </w:tcMar>
            <w:vAlign w:val="center"/>
          </w:tcPr>
          <w:p w14:paraId="1A0D3E25">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依附于城市道路建设各种管线、杆线等设施，不按照规定办理批准手续</w:t>
            </w:r>
            <w:r>
              <w:rPr>
                <w:rFonts w:hint="default" w:ascii="Times New Roman" w:hAnsi="Times New Roman" w:cs="Times New Roman" w:eastAsiaTheme="minorEastAsia"/>
                <w:color w:val="auto"/>
                <w:kern w:val="0"/>
                <w:sz w:val="18"/>
                <w:szCs w:val="18"/>
                <w:highlight w:val="none"/>
                <w:lang w:eastAsia="zh-CN"/>
              </w:rPr>
              <w:t>的</w:t>
            </w:r>
            <w:r>
              <w:rPr>
                <w:rFonts w:hint="default" w:ascii="Times New Roman" w:hAnsi="Times New Roman" w:cs="Times New Roman" w:eastAsiaTheme="minorEastAsia"/>
                <w:color w:val="auto"/>
                <w:kern w:val="0"/>
                <w:sz w:val="18"/>
                <w:szCs w:val="18"/>
                <w:highlight w:val="none"/>
              </w:rPr>
              <w:t>〔车行道、桥梁设施（含人行天桥、地下通道）除外〕</w:t>
            </w:r>
          </w:p>
        </w:tc>
        <w:tc>
          <w:tcPr>
            <w:tcW w:w="1310" w:type="pct"/>
            <w:gridSpan w:val="2"/>
            <w:vMerge w:val="restart"/>
            <w:shd w:val="clear" w:color="auto" w:fill="auto"/>
            <w:tcMar>
              <w:top w:w="15" w:type="dxa"/>
              <w:left w:w="15" w:type="dxa"/>
              <w:right w:w="15" w:type="dxa"/>
            </w:tcMar>
            <w:vAlign w:val="center"/>
          </w:tcPr>
          <w:p w14:paraId="3E10B4F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《城市道路管理条例》第二十九条：“依附于城市道路建设各种管线、杆线等设施的，应当经市政工程行政主管部门批准，方可建设。”</w:t>
            </w:r>
          </w:p>
        </w:tc>
        <w:tc>
          <w:tcPr>
            <w:tcW w:w="1314" w:type="pct"/>
            <w:gridSpan w:val="2"/>
            <w:vMerge w:val="restart"/>
            <w:shd w:val="clear" w:color="auto" w:fill="auto"/>
            <w:tcMar>
              <w:top w:w="15" w:type="dxa"/>
              <w:left w:w="15" w:type="dxa"/>
              <w:right w:w="15" w:type="dxa"/>
            </w:tcMar>
            <w:vAlign w:val="center"/>
          </w:tcPr>
          <w:p w14:paraId="30B12E5F">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《城市道路管理条例》第四十二条</w:t>
            </w:r>
            <w:r>
              <w:rPr>
                <w:rFonts w:hint="default" w:ascii="Times New Roman" w:hAnsi="Times New Roman" w:cs="Times New Roman" w:eastAsiaTheme="minorEastAsia"/>
                <w:color w:val="auto"/>
                <w:kern w:val="0"/>
                <w:sz w:val="18"/>
                <w:szCs w:val="18"/>
                <w:highlight w:val="none"/>
                <w:lang w:eastAsia="zh-CN"/>
              </w:rPr>
              <w:t>第四项</w:t>
            </w:r>
            <w:r>
              <w:rPr>
                <w:rFonts w:hint="default" w:ascii="Times New Roman" w:hAnsi="Times New Roman" w:cs="Times New Roman" w:eastAsiaTheme="minorEastAsia"/>
                <w:color w:val="auto"/>
                <w:kern w:val="0"/>
                <w:sz w:val="18"/>
                <w:szCs w:val="18"/>
                <w:highlight w:val="none"/>
              </w:rPr>
              <w:t>：“违反本条例第二十七条规定，或者有下列行为之一的，由市政工程行政主管部门或者其他有关部门责令限期改正，可以处以2万元以下的罚款；造成损失的，应当依法承担赔偿责任：（四）依附于城市道路建设各种管线、杆线等设施，不按照规定办理批准手续的；”</w:t>
            </w:r>
          </w:p>
        </w:tc>
        <w:tc>
          <w:tcPr>
            <w:tcW w:w="177" w:type="pct"/>
            <w:gridSpan w:val="2"/>
            <w:shd w:val="clear" w:color="auto" w:fill="auto"/>
            <w:tcMar>
              <w:top w:w="15" w:type="dxa"/>
              <w:left w:w="15" w:type="dxa"/>
              <w:right w:w="15" w:type="dxa"/>
            </w:tcMar>
            <w:vAlign w:val="center"/>
          </w:tcPr>
          <w:p w14:paraId="51E26E2B">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7C12D61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依附长度</w:t>
            </w:r>
            <w:r>
              <w:rPr>
                <w:rFonts w:hint="default" w:ascii="Times New Roman" w:hAnsi="Times New Roman" w:cs="Times New Roman" w:eastAsiaTheme="minorEastAsia"/>
                <w:color w:val="auto"/>
                <w:kern w:val="0"/>
                <w:sz w:val="18"/>
                <w:szCs w:val="18"/>
                <w:highlight w:val="none"/>
                <w:lang w:val="en-US" w:eastAsia="zh-CN"/>
              </w:rPr>
              <w:t>50</w:t>
            </w:r>
            <w:r>
              <w:rPr>
                <w:rFonts w:hint="default" w:ascii="Times New Roman" w:hAnsi="Times New Roman" w:cs="Times New Roman" w:eastAsiaTheme="minorEastAsia"/>
                <w:color w:val="auto"/>
                <w:kern w:val="0"/>
                <w:sz w:val="18"/>
                <w:szCs w:val="18"/>
                <w:highlight w:val="none"/>
              </w:rPr>
              <w:t>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1FEE69F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可以处以</w:t>
            </w:r>
            <w:r>
              <w:rPr>
                <w:rFonts w:hint="default" w:ascii="Times New Roman" w:hAnsi="Times New Roman" w:cs="Times New Roman" w:eastAsiaTheme="minorEastAsia"/>
                <w:color w:val="auto"/>
                <w:kern w:val="0"/>
                <w:sz w:val="18"/>
                <w:szCs w:val="18"/>
                <w:highlight w:val="none"/>
                <w:lang w:val="en-US" w:eastAsia="zh-CN"/>
              </w:rPr>
              <w:t>6000</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restart"/>
            <w:shd w:val="clear" w:color="auto" w:fill="auto"/>
            <w:tcMar>
              <w:top w:w="15" w:type="dxa"/>
              <w:left w:w="15" w:type="dxa"/>
              <w:right w:w="15" w:type="dxa"/>
            </w:tcMar>
            <w:vAlign w:val="center"/>
          </w:tcPr>
          <w:p w14:paraId="267213C0">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责令限期改正；造成损失的，应当依法承担赔偿责任</w:t>
            </w:r>
          </w:p>
          <w:p w14:paraId="770B8204">
            <w:pPr>
              <w:widowControl/>
              <w:shd w:val="clear"/>
              <w:jc w:val="left"/>
              <w:textAlignment w:val="center"/>
              <w:rPr>
                <w:rFonts w:hint="default" w:ascii="Times New Roman" w:hAnsi="Times New Roman" w:cs="Times New Roman" w:eastAsiaTheme="minorEastAsia"/>
                <w:color w:val="auto"/>
                <w:sz w:val="18"/>
                <w:szCs w:val="18"/>
                <w:highlight w:val="none"/>
              </w:rPr>
            </w:pPr>
          </w:p>
          <w:p w14:paraId="7DBA1364">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067A2667">
            <w:pPr>
              <w:shd w:val="clear"/>
              <w:jc w:val="left"/>
              <w:rPr>
                <w:rFonts w:hint="default" w:ascii="Times New Roman" w:hAnsi="Times New Roman" w:cs="Times New Roman" w:eastAsiaTheme="minorEastAsia"/>
                <w:color w:val="auto"/>
                <w:sz w:val="18"/>
                <w:szCs w:val="18"/>
                <w:highlight w:val="none"/>
                <w:lang w:val="en-US" w:eastAsia="zh-CN"/>
              </w:rPr>
            </w:pPr>
          </w:p>
        </w:tc>
      </w:tr>
      <w:tr w14:paraId="74A2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945" w:hRule="atLeast"/>
        </w:trPr>
        <w:tc>
          <w:tcPr>
            <w:tcW w:w="116" w:type="pct"/>
            <w:vMerge w:val="continue"/>
            <w:shd w:val="clear" w:color="auto" w:fill="auto"/>
            <w:tcMar>
              <w:top w:w="15" w:type="dxa"/>
              <w:left w:w="15" w:type="dxa"/>
              <w:right w:w="15" w:type="dxa"/>
            </w:tcMar>
            <w:vAlign w:val="center"/>
          </w:tcPr>
          <w:p w14:paraId="3AA663A1">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3AA3137B">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39169E84">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3D096E74">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4B5333D7">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171075E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依附长度</w:t>
            </w:r>
            <w:r>
              <w:rPr>
                <w:rFonts w:hint="default" w:ascii="Times New Roman" w:hAnsi="Times New Roman" w:cs="Times New Roman" w:eastAsiaTheme="minorEastAsia"/>
                <w:color w:val="auto"/>
                <w:kern w:val="0"/>
                <w:sz w:val="18"/>
                <w:szCs w:val="18"/>
                <w:highlight w:val="none"/>
                <w:lang w:val="en-US" w:eastAsia="zh-CN"/>
              </w:rPr>
              <w:t>50</w:t>
            </w:r>
            <w:r>
              <w:rPr>
                <w:rFonts w:hint="default" w:ascii="Times New Roman" w:hAnsi="Times New Roman" w:cs="Times New Roman" w:eastAsiaTheme="minorEastAsia"/>
                <w:color w:val="auto"/>
                <w:kern w:val="0"/>
                <w:sz w:val="18"/>
                <w:szCs w:val="18"/>
                <w:highlight w:val="none"/>
              </w:rPr>
              <w:t>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lang w:val="en-US" w:eastAsia="zh-CN"/>
              </w:rPr>
              <w:t>100</w:t>
            </w:r>
            <w:r>
              <w:rPr>
                <w:rFonts w:hint="default" w:ascii="Times New Roman" w:hAnsi="Times New Roman" w:cs="Times New Roman" w:eastAsiaTheme="minorEastAsia"/>
                <w:color w:val="auto"/>
                <w:kern w:val="0"/>
                <w:sz w:val="18"/>
                <w:szCs w:val="18"/>
                <w:highlight w:val="none"/>
              </w:rPr>
              <w:t>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48F8274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可以处以</w:t>
            </w:r>
            <w:r>
              <w:rPr>
                <w:rFonts w:hint="default" w:ascii="Times New Roman" w:hAnsi="Times New Roman" w:cs="Times New Roman" w:eastAsiaTheme="minorEastAsia"/>
                <w:color w:val="auto"/>
                <w:kern w:val="0"/>
                <w:sz w:val="18"/>
                <w:szCs w:val="18"/>
                <w:highlight w:val="none"/>
                <w:lang w:val="en-US" w:eastAsia="zh-CN"/>
              </w:rPr>
              <w:t>6000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1.4</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54089CC8">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46C8F050">
            <w:pPr>
              <w:shd w:val="clear"/>
              <w:jc w:val="left"/>
              <w:rPr>
                <w:rFonts w:hint="default" w:ascii="Times New Roman" w:hAnsi="Times New Roman" w:cs="Times New Roman" w:eastAsiaTheme="minorEastAsia"/>
                <w:color w:val="auto"/>
                <w:sz w:val="18"/>
                <w:szCs w:val="18"/>
                <w:highlight w:val="none"/>
              </w:rPr>
            </w:pPr>
          </w:p>
        </w:tc>
      </w:tr>
      <w:tr w14:paraId="644E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945" w:hRule="atLeast"/>
        </w:trPr>
        <w:tc>
          <w:tcPr>
            <w:tcW w:w="116" w:type="pct"/>
            <w:vMerge w:val="continue"/>
            <w:shd w:val="clear" w:color="auto" w:fill="auto"/>
            <w:tcMar>
              <w:top w:w="15" w:type="dxa"/>
              <w:left w:w="15" w:type="dxa"/>
              <w:right w:w="15" w:type="dxa"/>
            </w:tcMar>
            <w:vAlign w:val="center"/>
          </w:tcPr>
          <w:p w14:paraId="1FC34729">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2ABE0F31">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78229D76">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429661FE">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18C4CBC2">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19D2175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依附长度</w:t>
            </w:r>
            <w:r>
              <w:rPr>
                <w:rFonts w:hint="default" w:ascii="Times New Roman" w:hAnsi="Times New Roman" w:cs="Times New Roman" w:eastAsiaTheme="minorEastAsia"/>
                <w:color w:val="auto"/>
                <w:kern w:val="0"/>
                <w:sz w:val="18"/>
                <w:szCs w:val="18"/>
                <w:highlight w:val="none"/>
                <w:lang w:val="en-US" w:eastAsia="zh-CN"/>
              </w:rPr>
              <w:t>100</w:t>
            </w:r>
            <w:r>
              <w:rPr>
                <w:rFonts w:hint="default" w:ascii="Times New Roman" w:hAnsi="Times New Roman" w:cs="Times New Roman" w:eastAsiaTheme="minorEastAsia"/>
                <w:color w:val="auto"/>
                <w:kern w:val="0"/>
                <w:sz w:val="18"/>
                <w:szCs w:val="18"/>
                <w:highlight w:val="none"/>
              </w:rPr>
              <w:t>米</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73BFC8A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可以处以</w:t>
            </w:r>
            <w:r>
              <w:rPr>
                <w:rFonts w:hint="default" w:ascii="Times New Roman" w:hAnsi="Times New Roman" w:cs="Times New Roman" w:eastAsiaTheme="minorEastAsia"/>
                <w:color w:val="auto"/>
                <w:kern w:val="0"/>
                <w:sz w:val="18"/>
                <w:szCs w:val="18"/>
                <w:highlight w:val="none"/>
                <w:lang w:val="en-US" w:eastAsia="zh-CN"/>
              </w:rPr>
              <w:t>1.4</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2万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06D9C646">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44C8887F">
            <w:pPr>
              <w:shd w:val="clear"/>
              <w:jc w:val="left"/>
              <w:rPr>
                <w:rFonts w:hint="default" w:ascii="Times New Roman" w:hAnsi="Times New Roman" w:cs="Times New Roman" w:eastAsiaTheme="minorEastAsia"/>
                <w:color w:val="auto"/>
                <w:sz w:val="18"/>
                <w:szCs w:val="18"/>
                <w:highlight w:val="none"/>
              </w:rPr>
            </w:pPr>
          </w:p>
        </w:tc>
      </w:tr>
      <w:tr w14:paraId="668D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230" w:hRule="atLeast"/>
        </w:trPr>
        <w:tc>
          <w:tcPr>
            <w:tcW w:w="116" w:type="pct"/>
            <w:vMerge w:val="restart"/>
            <w:shd w:val="clear" w:color="auto" w:fill="auto"/>
            <w:tcMar>
              <w:top w:w="15" w:type="dxa"/>
              <w:left w:w="15" w:type="dxa"/>
              <w:right w:w="15" w:type="dxa"/>
            </w:tcMar>
            <w:vAlign w:val="center"/>
          </w:tcPr>
          <w:p w14:paraId="697976E7">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107</w:t>
            </w:r>
          </w:p>
        </w:tc>
        <w:tc>
          <w:tcPr>
            <w:tcW w:w="411" w:type="pct"/>
            <w:gridSpan w:val="2"/>
            <w:vMerge w:val="restart"/>
            <w:shd w:val="clear" w:color="auto" w:fill="auto"/>
            <w:tcMar>
              <w:top w:w="15" w:type="dxa"/>
              <w:left w:w="15" w:type="dxa"/>
              <w:right w:w="15" w:type="dxa"/>
            </w:tcMar>
            <w:vAlign w:val="center"/>
          </w:tcPr>
          <w:p w14:paraId="07D8F535">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占用城市道路期满或者挖掘城市道路后，不及时清理现场</w:t>
            </w:r>
            <w:r>
              <w:rPr>
                <w:rFonts w:hint="default" w:ascii="Times New Roman" w:hAnsi="Times New Roman" w:cs="Times New Roman" w:eastAsiaTheme="minorEastAsia"/>
                <w:color w:val="auto"/>
                <w:kern w:val="0"/>
                <w:sz w:val="18"/>
                <w:szCs w:val="18"/>
                <w:highlight w:val="none"/>
                <w:lang w:eastAsia="zh-CN"/>
              </w:rPr>
              <w:t>的</w:t>
            </w:r>
            <w:r>
              <w:rPr>
                <w:rFonts w:hint="default" w:ascii="Times New Roman" w:hAnsi="Times New Roman" w:cs="Times New Roman" w:eastAsiaTheme="minorEastAsia"/>
                <w:color w:val="auto"/>
                <w:kern w:val="0"/>
                <w:sz w:val="18"/>
                <w:szCs w:val="18"/>
                <w:highlight w:val="none"/>
              </w:rPr>
              <w:t>〔车行道、桥梁设施（含人行天桥、地下通道）除外〕</w:t>
            </w:r>
          </w:p>
        </w:tc>
        <w:tc>
          <w:tcPr>
            <w:tcW w:w="1310" w:type="pct"/>
            <w:gridSpan w:val="2"/>
            <w:vMerge w:val="restart"/>
            <w:shd w:val="clear" w:color="auto" w:fill="auto"/>
            <w:tcMar>
              <w:top w:w="15" w:type="dxa"/>
              <w:left w:w="15" w:type="dxa"/>
              <w:right w:w="15" w:type="dxa"/>
            </w:tcMar>
            <w:vAlign w:val="center"/>
          </w:tcPr>
          <w:p w14:paraId="4224B58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道路管理条例》第三十一条：“因特殊情况需要临时占用城市道路的，须经市政工程行政主管部门和公安交通管理部门批准，方可按照规定占用。”“经批准临时占用城市道路的，不得损坏城市道路；占用期满后，应当及时清理占用现场，恢复城市道路原状；损坏城市道路的，应当修复或者给予赔偿。”</w:t>
            </w:r>
          </w:p>
        </w:tc>
        <w:tc>
          <w:tcPr>
            <w:tcW w:w="1314" w:type="pct"/>
            <w:gridSpan w:val="2"/>
            <w:vMerge w:val="restart"/>
            <w:shd w:val="clear" w:color="auto" w:fill="auto"/>
            <w:tcMar>
              <w:top w:w="15" w:type="dxa"/>
              <w:left w:w="15" w:type="dxa"/>
              <w:right w:w="15" w:type="dxa"/>
            </w:tcMar>
            <w:vAlign w:val="center"/>
          </w:tcPr>
          <w:p w14:paraId="60BE75B6">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《城市道路管理条例》第四十二条</w:t>
            </w:r>
            <w:r>
              <w:rPr>
                <w:rFonts w:hint="default" w:ascii="Times New Roman" w:hAnsi="Times New Roman" w:cs="Times New Roman" w:eastAsiaTheme="minorEastAsia"/>
                <w:color w:val="auto"/>
                <w:kern w:val="0"/>
                <w:sz w:val="18"/>
                <w:szCs w:val="18"/>
                <w:highlight w:val="none"/>
                <w:lang w:eastAsia="zh-CN"/>
              </w:rPr>
              <w:t>第三项</w:t>
            </w:r>
            <w:r>
              <w:rPr>
                <w:rFonts w:hint="default" w:ascii="Times New Roman" w:hAnsi="Times New Roman" w:cs="Times New Roman" w:eastAsiaTheme="minorEastAsia"/>
                <w:color w:val="auto"/>
                <w:kern w:val="0"/>
                <w:sz w:val="18"/>
                <w:szCs w:val="18"/>
                <w:highlight w:val="none"/>
              </w:rPr>
              <w:t>：“违反本条例第二十七条规定，或者有下列行为之一的，由市政工程行政主管部门或者其他有关部门责令限期改正，可以处以2万元以下的罚款；造成损失的，应当依法承担赔偿责任：（三）占用城市道路期满或者挖掘城市道路后，不及时清理现场的；”</w:t>
            </w:r>
          </w:p>
        </w:tc>
        <w:tc>
          <w:tcPr>
            <w:tcW w:w="177" w:type="pct"/>
            <w:gridSpan w:val="2"/>
            <w:shd w:val="clear" w:color="auto" w:fill="auto"/>
            <w:tcMar>
              <w:top w:w="15" w:type="dxa"/>
              <w:left w:w="15" w:type="dxa"/>
              <w:right w:w="15" w:type="dxa"/>
            </w:tcMar>
            <w:vAlign w:val="center"/>
          </w:tcPr>
          <w:p w14:paraId="72B9ED20">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34D3B813">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占用期满或挖掘城市道路后，未及时清理现场1天</w:t>
            </w:r>
            <w:r>
              <w:rPr>
                <w:rFonts w:hint="default" w:ascii="Times New Roman" w:hAnsi="Times New Roman" w:cs="Times New Roman" w:eastAsiaTheme="minorEastAsia"/>
                <w:color w:val="auto"/>
                <w:kern w:val="0"/>
                <w:sz w:val="18"/>
                <w:szCs w:val="18"/>
                <w:highlight w:val="none"/>
                <w:lang w:eastAsia="zh-CN"/>
              </w:rPr>
              <w:t>以下；</w:t>
            </w:r>
          </w:p>
          <w:p w14:paraId="26AD9F8F">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未及时清理面积</w:t>
            </w:r>
            <w:r>
              <w:rPr>
                <w:rFonts w:hint="default" w:ascii="Times New Roman" w:hAnsi="Times New Roman" w:cs="Times New Roman" w:eastAsiaTheme="minorEastAsia"/>
                <w:color w:val="auto"/>
                <w:kern w:val="0"/>
                <w:sz w:val="18"/>
                <w:szCs w:val="18"/>
                <w:highlight w:val="none"/>
                <w:lang w:val="en-US" w:eastAsia="zh-CN"/>
              </w:rPr>
              <w:t>10平方米</w:t>
            </w:r>
            <w:r>
              <w:rPr>
                <w:rFonts w:hint="eastAsia" w:ascii="Times New Roman" w:hAnsi="Times New Roman" w:cs="Times New Roman"/>
                <w:color w:val="auto"/>
                <w:kern w:val="0"/>
                <w:sz w:val="18"/>
                <w:szCs w:val="18"/>
                <w:highlight w:val="none"/>
                <w:lang w:val="en-US" w:eastAsia="zh-CN"/>
              </w:rPr>
              <w:t>以下</w:t>
            </w:r>
          </w:p>
        </w:tc>
        <w:tc>
          <w:tcPr>
            <w:tcW w:w="545" w:type="pct"/>
            <w:gridSpan w:val="2"/>
            <w:shd w:val="clear" w:color="auto" w:fill="auto"/>
            <w:tcMar>
              <w:top w:w="15" w:type="dxa"/>
              <w:left w:w="15" w:type="dxa"/>
              <w:right w:w="15" w:type="dxa"/>
            </w:tcMar>
            <w:vAlign w:val="center"/>
          </w:tcPr>
          <w:p w14:paraId="5F06DC2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可以处以</w:t>
            </w:r>
            <w:r>
              <w:rPr>
                <w:rFonts w:hint="default" w:ascii="Times New Roman" w:hAnsi="Times New Roman" w:cs="Times New Roman" w:eastAsiaTheme="minorEastAsia"/>
                <w:color w:val="auto"/>
                <w:kern w:val="0"/>
                <w:sz w:val="18"/>
                <w:szCs w:val="18"/>
                <w:highlight w:val="none"/>
                <w:lang w:val="en-US" w:eastAsia="zh-CN"/>
              </w:rPr>
              <w:t>6000</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restart"/>
            <w:shd w:val="clear" w:color="auto" w:fill="auto"/>
            <w:tcMar>
              <w:top w:w="15" w:type="dxa"/>
              <w:left w:w="15" w:type="dxa"/>
              <w:right w:w="15" w:type="dxa"/>
            </w:tcMar>
            <w:vAlign w:val="center"/>
          </w:tcPr>
          <w:p w14:paraId="0EFA58DF">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责令限期改正；造成损失的，应当依法承担赔偿责任</w:t>
            </w:r>
          </w:p>
          <w:p w14:paraId="7D96B328">
            <w:pPr>
              <w:widowControl/>
              <w:shd w:val="clear"/>
              <w:jc w:val="left"/>
              <w:textAlignment w:val="center"/>
              <w:rPr>
                <w:rFonts w:hint="default" w:ascii="Times New Roman" w:hAnsi="Times New Roman" w:cs="Times New Roman" w:eastAsiaTheme="minorEastAsia"/>
                <w:color w:val="auto"/>
                <w:sz w:val="18"/>
                <w:szCs w:val="18"/>
                <w:highlight w:val="none"/>
              </w:rPr>
            </w:pPr>
          </w:p>
          <w:p w14:paraId="50964F26">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0C9DD0AE">
            <w:pPr>
              <w:shd w:val="clear"/>
              <w:jc w:val="left"/>
              <w:rPr>
                <w:rFonts w:hint="default" w:ascii="Times New Roman" w:hAnsi="Times New Roman" w:cs="Times New Roman" w:eastAsiaTheme="minorEastAsia"/>
                <w:color w:val="auto"/>
                <w:sz w:val="18"/>
                <w:szCs w:val="18"/>
                <w:highlight w:val="none"/>
                <w:lang w:val="en-US" w:eastAsia="zh-CN"/>
              </w:rPr>
            </w:pPr>
          </w:p>
        </w:tc>
      </w:tr>
      <w:tr w14:paraId="48249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230" w:hRule="atLeast"/>
        </w:trPr>
        <w:tc>
          <w:tcPr>
            <w:tcW w:w="116" w:type="pct"/>
            <w:vMerge w:val="continue"/>
            <w:shd w:val="clear" w:color="auto" w:fill="auto"/>
            <w:tcMar>
              <w:top w:w="15" w:type="dxa"/>
              <w:left w:w="15" w:type="dxa"/>
              <w:right w:w="15" w:type="dxa"/>
            </w:tcMar>
            <w:vAlign w:val="center"/>
          </w:tcPr>
          <w:p w14:paraId="061B708F">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266DC417">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38245C8">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7F96AF1F">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3C86F778">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6B542E2F">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占用期满或挖掘城市道路后，未及时清理现场1天</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2天</w:t>
            </w:r>
            <w:r>
              <w:rPr>
                <w:rFonts w:hint="default" w:ascii="Times New Roman" w:hAnsi="Times New Roman" w:cs="Times New Roman" w:eastAsiaTheme="minorEastAsia"/>
                <w:color w:val="auto"/>
                <w:kern w:val="0"/>
                <w:sz w:val="18"/>
                <w:szCs w:val="18"/>
                <w:highlight w:val="none"/>
                <w:lang w:eastAsia="zh-CN"/>
              </w:rPr>
              <w:t>以下；</w:t>
            </w:r>
          </w:p>
          <w:p w14:paraId="1C94412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未及时清理面积</w:t>
            </w:r>
            <w:r>
              <w:rPr>
                <w:rFonts w:hint="default" w:ascii="Times New Roman" w:hAnsi="Times New Roman" w:cs="Times New Roman" w:eastAsiaTheme="minorEastAsia"/>
                <w:color w:val="auto"/>
                <w:kern w:val="0"/>
                <w:sz w:val="18"/>
                <w:szCs w:val="18"/>
                <w:highlight w:val="none"/>
                <w:lang w:val="en-US" w:eastAsia="zh-CN"/>
              </w:rPr>
              <w:t>10平方米以上30平方米以下</w:t>
            </w:r>
          </w:p>
        </w:tc>
        <w:tc>
          <w:tcPr>
            <w:tcW w:w="545" w:type="pct"/>
            <w:gridSpan w:val="2"/>
            <w:shd w:val="clear" w:color="auto" w:fill="auto"/>
            <w:tcMar>
              <w:top w:w="15" w:type="dxa"/>
              <w:left w:w="15" w:type="dxa"/>
              <w:right w:w="15" w:type="dxa"/>
            </w:tcMar>
            <w:vAlign w:val="center"/>
          </w:tcPr>
          <w:p w14:paraId="6A6FD68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可以处以</w:t>
            </w:r>
            <w:r>
              <w:rPr>
                <w:rFonts w:hint="default" w:ascii="Times New Roman" w:hAnsi="Times New Roman" w:cs="Times New Roman" w:eastAsiaTheme="minorEastAsia"/>
                <w:color w:val="auto"/>
                <w:kern w:val="0"/>
                <w:sz w:val="18"/>
                <w:szCs w:val="18"/>
                <w:highlight w:val="none"/>
                <w:lang w:val="en-US" w:eastAsia="zh-CN"/>
              </w:rPr>
              <w:t>6000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1.4</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2B564524">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0C201021">
            <w:pPr>
              <w:shd w:val="clear"/>
              <w:jc w:val="left"/>
              <w:rPr>
                <w:rFonts w:hint="default" w:ascii="Times New Roman" w:hAnsi="Times New Roman" w:cs="Times New Roman" w:eastAsiaTheme="minorEastAsia"/>
                <w:color w:val="auto"/>
                <w:sz w:val="18"/>
                <w:szCs w:val="18"/>
                <w:highlight w:val="none"/>
              </w:rPr>
            </w:pPr>
          </w:p>
        </w:tc>
      </w:tr>
      <w:tr w14:paraId="41AA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970" w:hRule="atLeast"/>
        </w:trPr>
        <w:tc>
          <w:tcPr>
            <w:tcW w:w="116" w:type="pct"/>
            <w:vMerge w:val="continue"/>
            <w:shd w:val="clear" w:color="auto" w:fill="auto"/>
            <w:tcMar>
              <w:top w:w="15" w:type="dxa"/>
              <w:left w:w="15" w:type="dxa"/>
              <w:right w:w="15" w:type="dxa"/>
            </w:tcMar>
            <w:vAlign w:val="center"/>
          </w:tcPr>
          <w:p w14:paraId="2921CD13">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4B4CC1DC">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0F49C675">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3B0DBE32">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0C161263">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6EF382E2">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占用期满或挖掘城市道路后，未及时清理现场2天</w:t>
            </w:r>
            <w:r>
              <w:rPr>
                <w:rFonts w:hint="default" w:ascii="Times New Roman" w:hAnsi="Times New Roman" w:cs="Times New Roman" w:eastAsiaTheme="minorEastAsia"/>
                <w:color w:val="auto"/>
                <w:kern w:val="0"/>
                <w:sz w:val="18"/>
                <w:szCs w:val="18"/>
                <w:highlight w:val="none"/>
                <w:lang w:eastAsia="zh-CN"/>
              </w:rPr>
              <w:t>以上；</w:t>
            </w:r>
          </w:p>
          <w:p w14:paraId="097FF88A">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未及时清理面积</w:t>
            </w:r>
            <w:r>
              <w:rPr>
                <w:rFonts w:hint="default" w:ascii="Times New Roman" w:hAnsi="Times New Roman" w:cs="Times New Roman" w:eastAsiaTheme="minorEastAsia"/>
                <w:color w:val="auto"/>
                <w:kern w:val="0"/>
                <w:sz w:val="18"/>
                <w:szCs w:val="18"/>
                <w:highlight w:val="none"/>
                <w:lang w:val="en-US" w:eastAsia="zh-CN"/>
              </w:rPr>
              <w:t>30平方米以上</w:t>
            </w:r>
            <w:r>
              <w:rPr>
                <w:rFonts w:hint="default" w:ascii="Times New Roman" w:hAnsi="Times New Roman" w:cs="Times New Roman" w:eastAsiaTheme="minorEastAsia"/>
                <w:color w:val="auto"/>
                <w:kern w:val="0"/>
                <w:sz w:val="18"/>
                <w:szCs w:val="18"/>
                <w:highlight w:val="none"/>
                <w:lang w:eastAsia="zh-CN"/>
              </w:rPr>
              <w:t>；</w:t>
            </w:r>
          </w:p>
          <w:p w14:paraId="3830B9D8">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已造成交通安全事故等危害后果</w:t>
            </w:r>
          </w:p>
        </w:tc>
        <w:tc>
          <w:tcPr>
            <w:tcW w:w="545" w:type="pct"/>
            <w:gridSpan w:val="2"/>
            <w:shd w:val="clear" w:color="auto" w:fill="auto"/>
            <w:tcMar>
              <w:top w:w="15" w:type="dxa"/>
              <w:left w:w="15" w:type="dxa"/>
              <w:right w:w="15" w:type="dxa"/>
            </w:tcMar>
            <w:vAlign w:val="center"/>
          </w:tcPr>
          <w:p w14:paraId="71E059F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可以处以</w:t>
            </w:r>
            <w:r>
              <w:rPr>
                <w:rFonts w:hint="default" w:ascii="Times New Roman" w:hAnsi="Times New Roman" w:cs="Times New Roman" w:eastAsiaTheme="minorEastAsia"/>
                <w:color w:val="auto"/>
                <w:kern w:val="0"/>
                <w:sz w:val="18"/>
                <w:szCs w:val="18"/>
                <w:highlight w:val="none"/>
                <w:lang w:val="en-US" w:eastAsia="zh-CN"/>
              </w:rPr>
              <w:t>1.4</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2万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58DFBEC8">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0FBFA353">
            <w:pPr>
              <w:shd w:val="clear"/>
              <w:jc w:val="left"/>
              <w:rPr>
                <w:rFonts w:hint="default" w:ascii="Times New Roman" w:hAnsi="Times New Roman" w:cs="Times New Roman" w:eastAsiaTheme="minorEastAsia"/>
                <w:color w:val="auto"/>
                <w:sz w:val="18"/>
                <w:szCs w:val="18"/>
                <w:highlight w:val="none"/>
              </w:rPr>
            </w:pPr>
          </w:p>
        </w:tc>
      </w:tr>
      <w:tr w14:paraId="60CE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765" w:hRule="atLeast"/>
        </w:trPr>
        <w:tc>
          <w:tcPr>
            <w:tcW w:w="116" w:type="pct"/>
            <w:vMerge w:val="restart"/>
            <w:shd w:val="clear" w:color="auto" w:fill="auto"/>
            <w:tcMar>
              <w:top w:w="15" w:type="dxa"/>
              <w:left w:w="15" w:type="dxa"/>
              <w:right w:w="15" w:type="dxa"/>
            </w:tcMar>
            <w:vAlign w:val="center"/>
          </w:tcPr>
          <w:p w14:paraId="2025380B">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108</w:t>
            </w:r>
          </w:p>
        </w:tc>
        <w:tc>
          <w:tcPr>
            <w:tcW w:w="411" w:type="pct"/>
            <w:gridSpan w:val="2"/>
            <w:vMerge w:val="restart"/>
            <w:shd w:val="clear" w:color="auto" w:fill="auto"/>
            <w:tcMar>
              <w:top w:w="15" w:type="dxa"/>
              <w:left w:w="15" w:type="dxa"/>
              <w:right w:w="15" w:type="dxa"/>
            </w:tcMar>
            <w:vAlign w:val="center"/>
          </w:tcPr>
          <w:p w14:paraId="726AE24C">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紧急抢修埋设在城市道路下的管线，不按照规定补办批准手续</w:t>
            </w:r>
            <w:r>
              <w:rPr>
                <w:rFonts w:hint="default" w:ascii="Times New Roman" w:hAnsi="Times New Roman" w:cs="Times New Roman" w:eastAsiaTheme="minorEastAsia"/>
                <w:color w:val="auto"/>
                <w:kern w:val="0"/>
                <w:sz w:val="18"/>
                <w:szCs w:val="18"/>
                <w:highlight w:val="none"/>
                <w:lang w:eastAsia="zh-CN"/>
              </w:rPr>
              <w:t>的</w:t>
            </w:r>
            <w:r>
              <w:rPr>
                <w:rFonts w:hint="default" w:ascii="Times New Roman" w:hAnsi="Times New Roman" w:cs="Times New Roman" w:eastAsiaTheme="minorEastAsia"/>
                <w:color w:val="auto"/>
                <w:kern w:val="0"/>
                <w:sz w:val="18"/>
                <w:szCs w:val="18"/>
                <w:highlight w:val="none"/>
              </w:rPr>
              <w:t>〔车行道、桥梁设施（含人行天桥、地下通道）除外〕</w:t>
            </w:r>
          </w:p>
        </w:tc>
        <w:tc>
          <w:tcPr>
            <w:tcW w:w="1310" w:type="pct"/>
            <w:gridSpan w:val="2"/>
            <w:vMerge w:val="restart"/>
            <w:shd w:val="clear" w:color="auto" w:fill="auto"/>
            <w:tcMar>
              <w:top w:w="15" w:type="dxa"/>
              <w:left w:w="15" w:type="dxa"/>
              <w:right w:w="15" w:type="dxa"/>
            </w:tcMar>
            <w:vAlign w:val="center"/>
          </w:tcPr>
          <w:p w14:paraId="32006AC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《城市道路管理条例》第三十四条：“埋设在城市道路下的管线发生故障需要紧急抢修的，可以先行破路抢修，并同时通知市政工程行政主管部门和公安交通管理部门，在24小时内按照规定补办批准手续。”</w:t>
            </w:r>
          </w:p>
        </w:tc>
        <w:tc>
          <w:tcPr>
            <w:tcW w:w="1314" w:type="pct"/>
            <w:gridSpan w:val="2"/>
            <w:vMerge w:val="restart"/>
            <w:shd w:val="clear" w:color="auto" w:fill="auto"/>
            <w:tcMar>
              <w:top w:w="15" w:type="dxa"/>
              <w:left w:w="15" w:type="dxa"/>
              <w:right w:w="15" w:type="dxa"/>
            </w:tcMar>
            <w:vAlign w:val="center"/>
          </w:tcPr>
          <w:p w14:paraId="108FDEC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《城市道路管理条例》第四十二条</w:t>
            </w:r>
            <w:r>
              <w:rPr>
                <w:rFonts w:hint="default" w:ascii="Times New Roman" w:hAnsi="Times New Roman" w:cs="Times New Roman" w:eastAsiaTheme="minorEastAsia"/>
                <w:color w:val="auto"/>
                <w:kern w:val="0"/>
                <w:sz w:val="18"/>
                <w:szCs w:val="18"/>
                <w:highlight w:val="none"/>
                <w:lang w:eastAsia="zh-CN"/>
              </w:rPr>
              <w:t>第五项</w:t>
            </w:r>
            <w:r>
              <w:rPr>
                <w:rFonts w:hint="default" w:ascii="Times New Roman" w:hAnsi="Times New Roman" w:cs="Times New Roman" w:eastAsiaTheme="minorEastAsia"/>
                <w:color w:val="auto"/>
                <w:kern w:val="0"/>
                <w:sz w:val="18"/>
                <w:szCs w:val="18"/>
                <w:highlight w:val="none"/>
              </w:rPr>
              <w:t>：“违反本条例第二十七条规定，或者有下列行为之一的，由市政工程行政主管部门或者其他有关部门责令限期改正，可以处以2万元以下的罚款；造成损失的，应当依法承担赔偿责任：（五）紧急抢修埋设在城市道路下的管线，不按照规定补办批准手续的；”</w:t>
            </w:r>
          </w:p>
        </w:tc>
        <w:tc>
          <w:tcPr>
            <w:tcW w:w="177" w:type="pct"/>
            <w:gridSpan w:val="2"/>
            <w:shd w:val="clear" w:color="auto" w:fill="auto"/>
            <w:tcMar>
              <w:top w:w="15" w:type="dxa"/>
              <w:left w:w="15" w:type="dxa"/>
              <w:right w:w="15" w:type="dxa"/>
            </w:tcMar>
            <w:vAlign w:val="center"/>
          </w:tcPr>
          <w:p w14:paraId="1DADA62E">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4B94D8C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超过规定时限5天</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1647D39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可以处以</w:t>
            </w:r>
            <w:r>
              <w:rPr>
                <w:rFonts w:hint="default" w:ascii="Times New Roman" w:hAnsi="Times New Roman" w:cs="Times New Roman" w:eastAsiaTheme="minorEastAsia"/>
                <w:color w:val="auto"/>
                <w:kern w:val="0"/>
                <w:sz w:val="18"/>
                <w:szCs w:val="18"/>
                <w:highlight w:val="none"/>
                <w:lang w:val="en-US" w:eastAsia="zh-CN"/>
              </w:rPr>
              <w:t>6000</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restart"/>
            <w:shd w:val="clear" w:color="auto" w:fill="auto"/>
            <w:tcMar>
              <w:top w:w="15" w:type="dxa"/>
              <w:left w:w="15" w:type="dxa"/>
              <w:right w:w="15" w:type="dxa"/>
            </w:tcMar>
            <w:vAlign w:val="center"/>
          </w:tcPr>
          <w:p w14:paraId="67776A85">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责令限期改正；造成损失的，应当依法承担赔偿责任</w:t>
            </w:r>
          </w:p>
          <w:p w14:paraId="43253983">
            <w:pPr>
              <w:widowControl/>
              <w:shd w:val="clear"/>
              <w:jc w:val="left"/>
              <w:textAlignment w:val="center"/>
              <w:rPr>
                <w:rFonts w:hint="default" w:ascii="Times New Roman" w:hAnsi="Times New Roman" w:cs="Times New Roman" w:eastAsiaTheme="minorEastAsia"/>
                <w:color w:val="auto"/>
                <w:sz w:val="18"/>
                <w:szCs w:val="18"/>
                <w:highlight w:val="none"/>
              </w:rPr>
            </w:pPr>
          </w:p>
          <w:p w14:paraId="3925ABE7">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609D01B1">
            <w:pPr>
              <w:shd w:val="clear"/>
              <w:jc w:val="left"/>
              <w:rPr>
                <w:rFonts w:hint="default" w:ascii="Times New Roman" w:hAnsi="Times New Roman" w:cs="Times New Roman" w:eastAsiaTheme="minorEastAsia"/>
                <w:color w:val="auto"/>
                <w:sz w:val="18"/>
                <w:szCs w:val="18"/>
                <w:highlight w:val="none"/>
                <w:lang w:val="en-US" w:eastAsia="zh-CN"/>
              </w:rPr>
            </w:pPr>
          </w:p>
        </w:tc>
      </w:tr>
      <w:tr w14:paraId="10A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765" w:hRule="atLeast"/>
        </w:trPr>
        <w:tc>
          <w:tcPr>
            <w:tcW w:w="116" w:type="pct"/>
            <w:vMerge w:val="continue"/>
            <w:shd w:val="clear" w:color="auto" w:fill="auto"/>
            <w:tcMar>
              <w:top w:w="15" w:type="dxa"/>
              <w:left w:w="15" w:type="dxa"/>
              <w:right w:w="15" w:type="dxa"/>
            </w:tcMar>
            <w:vAlign w:val="center"/>
          </w:tcPr>
          <w:p w14:paraId="261FB679">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19B17CDF">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34F517D4">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0A50BA4F">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5B5CF313">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1672511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超过规定时限5天</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10天</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5556039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可以处以</w:t>
            </w:r>
            <w:r>
              <w:rPr>
                <w:rFonts w:hint="default" w:ascii="Times New Roman" w:hAnsi="Times New Roman" w:cs="Times New Roman" w:eastAsiaTheme="minorEastAsia"/>
                <w:color w:val="auto"/>
                <w:kern w:val="0"/>
                <w:sz w:val="18"/>
                <w:szCs w:val="18"/>
                <w:highlight w:val="none"/>
                <w:lang w:val="en-US" w:eastAsia="zh-CN"/>
              </w:rPr>
              <w:t>6000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1.4</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144EEB78">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64E7F6B3">
            <w:pPr>
              <w:shd w:val="clear"/>
              <w:jc w:val="left"/>
              <w:rPr>
                <w:rFonts w:hint="default" w:ascii="Times New Roman" w:hAnsi="Times New Roman" w:cs="Times New Roman" w:eastAsiaTheme="minorEastAsia"/>
                <w:color w:val="auto"/>
                <w:sz w:val="18"/>
                <w:szCs w:val="18"/>
                <w:highlight w:val="none"/>
              </w:rPr>
            </w:pPr>
          </w:p>
        </w:tc>
      </w:tr>
      <w:tr w14:paraId="7452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765" w:hRule="atLeast"/>
        </w:trPr>
        <w:tc>
          <w:tcPr>
            <w:tcW w:w="116" w:type="pct"/>
            <w:vMerge w:val="continue"/>
            <w:shd w:val="clear" w:color="auto" w:fill="auto"/>
            <w:tcMar>
              <w:top w:w="15" w:type="dxa"/>
              <w:left w:w="15" w:type="dxa"/>
              <w:right w:w="15" w:type="dxa"/>
            </w:tcMar>
            <w:vAlign w:val="center"/>
          </w:tcPr>
          <w:p w14:paraId="4350E3C7">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30EB43F5">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68A0888C">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76C4C115">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2DD1B36B">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6613352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超过规定时限10天</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64D4892F">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可以处以</w:t>
            </w:r>
            <w:r>
              <w:rPr>
                <w:rFonts w:hint="default" w:ascii="Times New Roman" w:hAnsi="Times New Roman" w:cs="Times New Roman" w:eastAsiaTheme="minorEastAsia"/>
                <w:color w:val="auto"/>
                <w:kern w:val="0"/>
                <w:sz w:val="18"/>
                <w:szCs w:val="18"/>
                <w:highlight w:val="none"/>
                <w:lang w:val="en-US" w:eastAsia="zh-CN"/>
              </w:rPr>
              <w:t>1.4</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2万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7729C62B">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5DA42502">
            <w:pPr>
              <w:shd w:val="clear"/>
              <w:jc w:val="left"/>
              <w:rPr>
                <w:rFonts w:hint="default" w:ascii="Times New Roman" w:hAnsi="Times New Roman" w:cs="Times New Roman" w:eastAsiaTheme="minorEastAsia"/>
                <w:color w:val="auto"/>
                <w:sz w:val="18"/>
                <w:szCs w:val="18"/>
                <w:highlight w:val="none"/>
              </w:rPr>
            </w:pPr>
          </w:p>
        </w:tc>
      </w:tr>
      <w:tr w14:paraId="55DA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863" w:hRule="atLeast"/>
        </w:trPr>
        <w:tc>
          <w:tcPr>
            <w:tcW w:w="116" w:type="pct"/>
            <w:vMerge w:val="restart"/>
            <w:shd w:val="clear" w:color="auto" w:fill="auto"/>
            <w:tcMar>
              <w:top w:w="15" w:type="dxa"/>
              <w:left w:w="15" w:type="dxa"/>
              <w:right w:w="15" w:type="dxa"/>
            </w:tcMar>
            <w:vAlign w:val="center"/>
          </w:tcPr>
          <w:p w14:paraId="6C212F64">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109</w:t>
            </w:r>
          </w:p>
        </w:tc>
        <w:tc>
          <w:tcPr>
            <w:tcW w:w="411" w:type="pct"/>
            <w:gridSpan w:val="2"/>
            <w:vMerge w:val="restart"/>
            <w:shd w:val="clear" w:color="auto" w:fill="auto"/>
            <w:tcMar>
              <w:top w:w="15" w:type="dxa"/>
              <w:left w:w="15" w:type="dxa"/>
              <w:right w:w="15" w:type="dxa"/>
            </w:tcMar>
            <w:vAlign w:val="center"/>
          </w:tcPr>
          <w:p w14:paraId="444738E5">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未按照批准的位置、面积、期限占用或者挖掘城市道路，或者需要移动位置、扩大面积、延长时间，未提前办理变更审批手续</w:t>
            </w:r>
            <w:r>
              <w:rPr>
                <w:rFonts w:hint="default" w:ascii="Times New Roman" w:hAnsi="Times New Roman" w:cs="Times New Roman" w:eastAsiaTheme="minorEastAsia"/>
                <w:color w:val="auto"/>
                <w:kern w:val="0"/>
                <w:sz w:val="18"/>
                <w:szCs w:val="18"/>
                <w:highlight w:val="none"/>
                <w:lang w:eastAsia="zh-CN"/>
              </w:rPr>
              <w:t>的</w:t>
            </w:r>
            <w:r>
              <w:rPr>
                <w:rFonts w:hint="default" w:ascii="Times New Roman" w:hAnsi="Times New Roman" w:cs="Times New Roman" w:eastAsiaTheme="minorEastAsia"/>
                <w:color w:val="auto"/>
                <w:kern w:val="0"/>
                <w:sz w:val="18"/>
                <w:szCs w:val="18"/>
                <w:highlight w:val="none"/>
              </w:rPr>
              <w:t>〔车行道、桥梁设施（含人行天桥、地下通道）除外〕</w:t>
            </w:r>
          </w:p>
        </w:tc>
        <w:tc>
          <w:tcPr>
            <w:tcW w:w="1310" w:type="pct"/>
            <w:gridSpan w:val="2"/>
            <w:vMerge w:val="restart"/>
            <w:shd w:val="clear" w:color="auto" w:fill="auto"/>
            <w:tcMar>
              <w:top w:w="15" w:type="dxa"/>
              <w:left w:w="15" w:type="dxa"/>
              <w:right w:w="15" w:type="dxa"/>
            </w:tcMar>
            <w:vAlign w:val="center"/>
          </w:tcPr>
          <w:p w14:paraId="191F109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《城市道路管理条例》第三十六条：“经批准占用或者挖掘城市道路的，应当按照批准的位置、面积、期限占用或者挖掘。需要移动位置、扩大面积、延长时间的，应当提前办理变更审批手续。”</w:t>
            </w:r>
          </w:p>
        </w:tc>
        <w:tc>
          <w:tcPr>
            <w:tcW w:w="1314" w:type="pct"/>
            <w:gridSpan w:val="2"/>
            <w:vMerge w:val="restart"/>
            <w:shd w:val="clear" w:color="auto" w:fill="auto"/>
            <w:tcMar>
              <w:top w:w="15" w:type="dxa"/>
              <w:left w:w="15" w:type="dxa"/>
              <w:right w:w="15" w:type="dxa"/>
            </w:tcMar>
            <w:vAlign w:val="center"/>
          </w:tcPr>
          <w:p w14:paraId="7D4DD59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《城市道路管理条例》第四十二条</w:t>
            </w:r>
            <w:r>
              <w:rPr>
                <w:rFonts w:hint="default" w:ascii="Times New Roman" w:hAnsi="Times New Roman" w:cs="Times New Roman" w:eastAsiaTheme="minorEastAsia"/>
                <w:color w:val="auto"/>
                <w:kern w:val="0"/>
                <w:sz w:val="18"/>
                <w:szCs w:val="18"/>
                <w:highlight w:val="none"/>
                <w:lang w:eastAsia="zh-CN"/>
              </w:rPr>
              <w:t>第六项</w:t>
            </w:r>
            <w:r>
              <w:rPr>
                <w:rFonts w:hint="default" w:ascii="Times New Roman" w:hAnsi="Times New Roman" w:cs="Times New Roman" w:eastAsiaTheme="minorEastAsia"/>
                <w:color w:val="auto"/>
                <w:kern w:val="0"/>
                <w:sz w:val="18"/>
                <w:szCs w:val="18"/>
                <w:highlight w:val="none"/>
              </w:rPr>
              <w:t>：“违反本条例第二十七条规定，或者有下列行为之一的，由市政工程行政主管部门或者其他有关部门责令限期改正，可以处以2万元以下的罚款；造成损失的，应当依法承担赔偿责任：（六）未按照批准的位置、面积、期限占用或者挖掘城市道路，或者需要移动位置、扩大面积、延长时间，未提前办理变更审批手续的。”</w:t>
            </w:r>
          </w:p>
        </w:tc>
        <w:tc>
          <w:tcPr>
            <w:tcW w:w="177" w:type="pct"/>
            <w:gridSpan w:val="2"/>
            <w:shd w:val="clear" w:color="auto" w:fill="auto"/>
            <w:tcMar>
              <w:top w:w="15" w:type="dxa"/>
              <w:left w:w="15" w:type="dxa"/>
              <w:right w:w="15" w:type="dxa"/>
            </w:tcMar>
            <w:vAlign w:val="center"/>
          </w:tcPr>
          <w:p w14:paraId="225A98F9">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1064D758">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超出审批面积10平方米</w:t>
            </w:r>
            <w:r>
              <w:rPr>
                <w:rFonts w:hint="default" w:ascii="Times New Roman" w:hAnsi="Times New Roman" w:cs="Times New Roman" w:eastAsiaTheme="minorEastAsia"/>
                <w:color w:val="auto"/>
                <w:kern w:val="0"/>
                <w:sz w:val="18"/>
                <w:szCs w:val="18"/>
                <w:highlight w:val="none"/>
                <w:lang w:eastAsia="zh-CN"/>
              </w:rPr>
              <w:t>以下；</w:t>
            </w:r>
          </w:p>
          <w:p w14:paraId="40A6E21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超出审批期限5天</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4711853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可以处以</w:t>
            </w:r>
            <w:r>
              <w:rPr>
                <w:rFonts w:hint="default" w:ascii="Times New Roman" w:hAnsi="Times New Roman" w:cs="Times New Roman" w:eastAsiaTheme="minorEastAsia"/>
                <w:color w:val="auto"/>
                <w:kern w:val="0"/>
                <w:sz w:val="18"/>
                <w:szCs w:val="18"/>
                <w:highlight w:val="none"/>
                <w:lang w:val="en-US" w:eastAsia="zh-CN"/>
              </w:rPr>
              <w:t>6000</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restart"/>
            <w:shd w:val="clear" w:color="auto" w:fill="auto"/>
            <w:tcMar>
              <w:top w:w="15" w:type="dxa"/>
              <w:left w:w="15" w:type="dxa"/>
              <w:right w:w="15" w:type="dxa"/>
            </w:tcMar>
            <w:vAlign w:val="center"/>
          </w:tcPr>
          <w:p w14:paraId="41D43991">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责令限期改正；造成损失的，应当依法承担赔偿责任</w:t>
            </w:r>
          </w:p>
          <w:p w14:paraId="76744715">
            <w:pPr>
              <w:widowControl/>
              <w:shd w:val="clear"/>
              <w:jc w:val="left"/>
              <w:textAlignment w:val="center"/>
              <w:rPr>
                <w:rFonts w:hint="default" w:ascii="Times New Roman" w:hAnsi="Times New Roman" w:cs="Times New Roman" w:eastAsiaTheme="minorEastAsia"/>
                <w:color w:val="auto"/>
                <w:sz w:val="18"/>
                <w:szCs w:val="18"/>
                <w:highlight w:val="none"/>
              </w:rPr>
            </w:pPr>
          </w:p>
          <w:p w14:paraId="4781D20B">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7CB76FCA">
            <w:pPr>
              <w:shd w:val="clear"/>
              <w:jc w:val="left"/>
              <w:rPr>
                <w:rFonts w:hint="default" w:ascii="Times New Roman" w:hAnsi="Times New Roman" w:cs="Times New Roman" w:eastAsiaTheme="minorEastAsia"/>
                <w:color w:val="auto"/>
                <w:sz w:val="18"/>
                <w:szCs w:val="18"/>
                <w:highlight w:val="none"/>
                <w:lang w:val="en-US" w:eastAsia="zh-CN"/>
              </w:rPr>
            </w:pPr>
          </w:p>
        </w:tc>
      </w:tr>
      <w:tr w14:paraId="69B8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733" w:hRule="atLeast"/>
        </w:trPr>
        <w:tc>
          <w:tcPr>
            <w:tcW w:w="116" w:type="pct"/>
            <w:vMerge w:val="continue"/>
            <w:shd w:val="clear" w:color="auto" w:fill="auto"/>
            <w:tcMar>
              <w:top w:w="15" w:type="dxa"/>
              <w:left w:w="15" w:type="dxa"/>
              <w:right w:w="15" w:type="dxa"/>
            </w:tcMar>
            <w:vAlign w:val="center"/>
          </w:tcPr>
          <w:p w14:paraId="53BE1FDE">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7F795124">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512B842B">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2DE33394">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37BDBC04">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51408F4A">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超出审批面积10平方米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30平方米</w:t>
            </w:r>
            <w:r>
              <w:rPr>
                <w:rFonts w:hint="default" w:ascii="Times New Roman" w:hAnsi="Times New Roman" w:cs="Times New Roman" w:eastAsiaTheme="minorEastAsia"/>
                <w:color w:val="auto"/>
                <w:kern w:val="0"/>
                <w:sz w:val="18"/>
                <w:szCs w:val="18"/>
                <w:highlight w:val="none"/>
                <w:lang w:eastAsia="zh-CN"/>
              </w:rPr>
              <w:t>以下；</w:t>
            </w:r>
          </w:p>
          <w:p w14:paraId="04CA0865">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超出审批期限5天</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10天</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351893C6">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可以处以</w:t>
            </w:r>
            <w:r>
              <w:rPr>
                <w:rFonts w:hint="default" w:ascii="Times New Roman" w:hAnsi="Times New Roman" w:cs="Times New Roman" w:eastAsiaTheme="minorEastAsia"/>
                <w:color w:val="auto"/>
                <w:kern w:val="0"/>
                <w:sz w:val="18"/>
                <w:szCs w:val="18"/>
                <w:highlight w:val="none"/>
                <w:lang w:val="en-US" w:eastAsia="zh-CN"/>
              </w:rPr>
              <w:t>6000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1.4</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07D9193D">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781D8B55">
            <w:pPr>
              <w:shd w:val="clear"/>
              <w:jc w:val="left"/>
              <w:rPr>
                <w:rFonts w:hint="default" w:ascii="Times New Roman" w:hAnsi="Times New Roman" w:cs="Times New Roman" w:eastAsiaTheme="minorEastAsia"/>
                <w:color w:val="auto"/>
                <w:sz w:val="18"/>
                <w:szCs w:val="18"/>
                <w:highlight w:val="none"/>
              </w:rPr>
            </w:pPr>
          </w:p>
        </w:tc>
      </w:tr>
      <w:tr w14:paraId="7865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63" w:hRule="atLeast"/>
        </w:trPr>
        <w:tc>
          <w:tcPr>
            <w:tcW w:w="116" w:type="pct"/>
            <w:vMerge w:val="continue"/>
            <w:shd w:val="clear" w:color="auto" w:fill="auto"/>
            <w:tcMar>
              <w:top w:w="15" w:type="dxa"/>
              <w:left w:w="15" w:type="dxa"/>
              <w:right w:w="15" w:type="dxa"/>
            </w:tcMar>
            <w:vAlign w:val="center"/>
          </w:tcPr>
          <w:p w14:paraId="6D12DCFD">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3A528C9B">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30C05014">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457569FB">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201D4F27">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0E969D70">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超出审批面积30平方米</w:t>
            </w:r>
            <w:r>
              <w:rPr>
                <w:rFonts w:hint="default" w:ascii="Times New Roman" w:hAnsi="Times New Roman" w:cs="Times New Roman" w:eastAsiaTheme="minorEastAsia"/>
                <w:color w:val="auto"/>
                <w:kern w:val="0"/>
                <w:sz w:val="18"/>
                <w:szCs w:val="18"/>
                <w:highlight w:val="none"/>
                <w:lang w:eastAsia="zh-CN"/>
              </w:rPr>
              <w:t>以上；</w:t>
            </w:r>
          </w:p>
          <w:p w14:paraId="26913625">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超出审批期限10天</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4D6D21D6">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可以处以</w:t>
            </w:r>
            <w:r>
              <w:rPr>
                <w:rFonts w:hint="default" w:ascii="Times New Roman" w:hAnsi="Times New Roman" w:cs="Times New Roman" w:eastAsiaTheme="minorEastAsia"/>
                <w:color w:val="auto"/>
                <w:kern w:val="0"/>
                <w:sz w:val="18"/>
                <w:szCs w:val="18"/>
                <w:highlight w:val="none"/>
                <w:lang w:val="en-US" w:eastAsia="zh-CN"/>
              </w:rPr>
              <w:t>1.4</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2万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7FF05D79">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1128CA71">
            <w:pPr>
              <w:shd w:val="clear"/>
              <w:jc w:val="left"/>
              <w:rPr>
                <w:rFonts w:hint="default" w:ascii="Times New Roman" w:hAnsi="Times New Roman" w:cs="Times New Roman" w:eastAsiaTheme="minorEastAsia"/>
                <w:color w:val="auto"/>
                <w:sz w:val="18"/>
                <w:szCs w:val="18"/>
                <w:highlight w:val="none"/>
              </w:rPr>
            </w:pPr>
          </w:p>
        </w:tc>
      </w:tr>
      <w:tr w14:paraId="4517D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351" w:hRule="atLeast"/>
        </w:trPr>
        <w:tc>
          <w:tcPr>
            <w:tcW w:w="116" w:type="pct"/>
            <w:vMerge w:val="restart"/>
            <w:shd w:val="clear" w:color="auto" w:fill="auto"/>
            <w:tcMar>
              <w:top w:w="15" w:type="dxa"/>
              <w:left w:w="15" w:type="dxa"/>
              <w:right w:w="15" w:type="dxa"/>
            </w:tcMar>
            <w:vAlign w:val="center"/>
          </w:tcPr>
          <w:p w14:paraId="444576C3">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110</w:t>
            </w:r>
          </w:p>
        </w:tc>
        <w:tc>
          <w:tcPr>
            <w:tcW w:w="411" w:type="pct"/>
            <w:gridSpan w:val="2"/>
            <w:vMerge w:val="restart"/>
            <w:shd w:val="clear" w:color="auto" w:fill="auto"/>
            <w:tcMar>
              <w:top w:w="15" w:type="dxa"/>
              <w:left w:w="15" w:type="dxa"/>
              <w:right w:w="15" w:type="dxa"/>
            </w:tcMar>
            <w:vAlign w:val="center"/>
          </w:tcPr>
          <w:p w14:paraId="3BBDCAD1">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未按照设计图纸施工或者擅自修改图纸</w:t>
            </w:r>
            <w:r>
              <w:rPr>
                <w:rFonts w:hint="default" w:ascii="Times New Roman" w:hAnsi="Times New Roman" w:cs="Times New Roman" w:eastAsiaTheme="minorEastAsia"/>
                <w:color w:val="auto"/>
                <w:kern w:val="0"/>
                <w:sz w:val="18"/>
                <w:szCs w:val="18"/>
                <w:highlight w:val="none"/>
                <w:lang w:eastAsia="zh-CN"/>
              </w:rPr>
              <w:t>的</w:t>
            </w:r>
            <w:r>
              <w:rPr>
                <w:rFonts w:hint="default" w:ascii="Times New Roman" w:hAnsi="Times New Roman" w:cs="Times New Roman" w:eastAsiaTheme="minorEastAsia"/>
                <w:color w:val="auto"/>
                <w:kern w:val="0"/>
                <w:sz w:val="18"/>
                <w:szCs w:val="18"/>
                <w:highlight w:val="none"/>
              </w:rPr>
              <w:t>〔车行道、桥梁设施（含人行天桥、地下通道）除外〕</w:t>
            </w:r>
          </w:p>
        </w:tc>
        <w:tc>
          <w:tcPr>
            <w:tcW w:w="1310" w:type="pct"/>
            <w:gridSpan w:val="2"/>
            <w:vMerge w:val="restart"/>
            <w:shd w:val="clear" w:color="auto" w:fill="auto"/>
            <w:tcMar>
              <w:top w:w="15" w:type="dxa"/>
              <w:left w:w="15" w:type="dxa"/>
              <w:right w:w="15" w:type="dxa"/>
            </w:tcMar>
            <w:vAlign w:val="center"/>
          </w:tcPr>
          <w:p w14:paraId="24265F0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《城市道路管理条例》第三十三条：“因工程建设需要挖掘城市道路的，应当提交城市规划部门批准签发的文件和有关设计文件，经市政工程行政主管部门和公安交通管理部门批准，方可按照规定挖掘。”</w:t>
            </w:r>
          </w:p>
        </w:tc>
        <w:tc>
          <w:tcPr>
            <w:tcW w:w="1314" w:type="pct"/>
            <w:gridSpan w:val="2"/>
            <w:vMerge w:val="restart"/>
            <w:shd w:val="clear" w:color="auto" w:fill="auto"/>
            <w:tcMar>
              <w:top w:w="15" w:type="dxa"/>
              <w:left w:w="15" w:type="dxa"/>
              <w:right w:w="15" w:type="dxa"/>
            </w:tcMar>
            <w:vAlign w:val="center"/>
          </w:tcPr>
          <w:p w14:paraId="3820385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《城市道路管理条例》第三十九条</w:t>
            </w:r>
            <w:r>
              <w:rPr>
                <w:rFonts w:hint="default" w:ascii="Times New Roman" w:hAnsi="Times New Roman" w:cs="Times New Roman" w:eastAsiaTheme="minorEastAsia"/>
                <w:color w:val="auto"/>
                <w:kern w:val="0"/>
                <w:sz w:val="18"/>
                <w:szCs w:val="18"/>
                <w:highlight w:val="none"/>
                <w:lang w:eastAsia="zh-CN"/>
              </w:rPr>
              <w:t>第三项</w:t>
            </w:r>
            <w:r>
              <w:rPr>
                <w:rFonts w:hint="default" w:ascii="Times New Roman" w:hAnsi="Times New Roman" w:cs="Times New Roman" w:eastAsiaTheme="minorEastAsia"/>
                <w:color w:val="auto"/>
                <w:kern w:val="0"/>
                <w:sz w:val="18"/>
                <w:szCs w:val="18"/>
                <w:highlight w:val="none"/>
              </w:rPr>
              <w:t>：“违反本条例的规定，有下列行为之一的，由市政工程行政主管部门责令停止设计、施工，限期改正，可以并处3万元以下的罚款；已经取得设计、施工资格证书，情节严重的，提请原发证机关吊销设计、施工资格证书：（三）未按照设计图纸施工或者擅自修改图纸的。”</w:t>
            </w:r>
          </w:p>
        </w:tc>
        <w:tc>
          <w:tcPr>
            <w:tcW w:w="177" w:type="pct"/>
            <w:gridSpan w:val="2"/>
            <w:shd w:val="clear" w:color="auto" w:fill="auto"/>
            <w:tcMar>
              <w:top w:w="15" w:type="dxa"/>
              <w:left w:w="15" w:type="dxa"/>
              <w:right w:w="15" w:type="dxa"/>
            </w:tcMar>
            <w:vAlign w:val="center"/>
          </w:tcPr>
          <w:p w14:paraId="3E18F2F8">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3D6D0142">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造成城市道路工程质量不合格</w:t>
            </w:r>
            <w:r>
              <w:rPr>
                <w:rFonts w:hint="default" w:ascii="Times New Roman" w:hAnsi="Times New Roman" w:cs="Times New Roman" w:eastAsiaTheme="minorEastAsia"/>
                <w:color w:val="auto"/>
                <w:kern w:val="0"/>
                <w:sz w:val="18"/>
                <w:szCs w:val="18"/>
                <w:highlight w:val="none"/>
                <w:lang w:eastAsia="zh-CN"/>
              </w:rPr>
              <w:t>；</w:t>
            </w:r>
          </w:p>
          <w:p w14:paraId="3CB7240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工程完成量在</w:t>
            </w:r>
            <w:r>
              <w:rPr>
                <w:rFonts w:hint="default" w:ascii="Times New Roman" w:hAnsi="Times New Roman" w:cs="Times New Roman" w:eastAsiaTheme="minorEastAsia"/>
                <w:color w:val="auto"/>
                <w:kern w:val="0"/>
                <w:sz w:val="18"/>
                <w:szCs w:val="18"/>
                <w:highlight w:val="none"/>
                <w:lang w:val="en-US" w:eastAsia="zh-CN"/>
              </w:rPr>
              <w:t>10%以下</w:t>
            </w:r>
          </w:p>
        </w:tc>
        <w:tc>
          <w:tcPr>
            <w:tcW w:w="545" w:type="pct"/>
            <w:gridSpan w:val="2"/>
            <w:shd w:val="clear" w:color="auto" w:fill="auto"/>
            <w:tcMar>
              <w:top w:w="15" w:type="dxa"/>
              <w:left w:w="15" w:type="dxa"/>
              <w:right w:w="15" w:type="dxa"/>
            </w:tcMar>
            <w:vAlign w:val="center"/>
          </w:tcPr>
          <w:p w14:paraId="29950AC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w:t>
            </w:r>
            <w:r>
              <w:rPr>
                <w:rFonts w:hint="default" w:ascii="Times New Roman" w:hAnsi="Times New Roman" w:cs="Times New Roman" w:eastAsiaTheme="minorEastAsia"/>
                <w:color w:val="auto"/>
                <w:kern w:val="0"/>
                <w:sz w:val="18"/>
                <w:szCs w:val="18"/>
                <w:highlight w:val="none"/>
                <w:lang w:val="en-US" w:eastAsia="zh-CN"/>
              </w:rPr>
              <w:t>9000</w:t>
            </w:r>
            <w:r>
              <w:rPr>
                <w:rFonts w:hint="default" w:ascii="Times New Roman" w:hAnsi="Times New Roman" w:cs="Times New Roman" w:eastAsiaTheme="minorEastAsia"/>
                <w:color w:val="auto"/>
                <w:kern w:val="0"/>
                <w:sz w:val="18"/>
                <w:szCs w:val="18"/>
                <w:highlight w:val="none"/>
              </w:rPr>
              <w:t>元以下的罚款；已经取得设计、施工资格证书，情节严重的，提请原发证机关吊销设计、施工资格证书</w:t>
            </w:r>
          </w:p>
        </w:tc>
        <w:tc>
          <w:tcPr>
            <w:tcW w:w="260" w:type="pct"/>
            <w:gridSpan w:val="3"/>
            <w:vMerge w:val="restart"/>
            <w:shd w:val="clear" w:color="auto" w:fill="auto"/>
            <w:tcMar>
              <w:top w:w="15" w:type="dxa"/>
              <w:left w:w="15" w:type="dxa"/>
              <w:right w:w="15" w:type="dxa"/>
            </w:tcMar>
            <w:vAlign w:val="center"/>
          </w:tcPr>
          <w:p w14:paraId="27E63AD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责令停止设计、施工，限期改正</w:t>
            </w:r>
          </w:p>
        </w:tc>
        <w:tc>
          <w:tcPr>
            <w:tcW w:w="329" w:type="pct"/>
            <w:gridSpan w:val="2"/>
            <w:vMerge w:val="restart"/>
            <w:shd w:val="clear" w:color="auto" w:fill="auto"/>
            <w:tcMar>
              <w:top w:w="15" w:type="dxa"/>
              <w:left w:w="15" w:type="dxa"/>
              <w:right w:w="15" w:type="dxa"/>
            </w:tcMar>
            <w:vAlign w:val="center"/>
          </w:tcPr>
          <w:p w14:paraId="2D571FE0">
            <w:pPr>
              <w:shd w:val="clear"/>
              <w:rPr>
                <w:rFonts w:hint="default" w:ascii="Times New Roman" w:hAnsi="Times New Roman" w:cs="Times New Roman" w:eastAsiaTheme="minorEastAsia"/>
                <w:color w:val="auto"/>
                <w:sz w:val="18"/>
                <w:szCs w:val="18"/>
                <w:highlight w:val="none"/>
                <w:lang w:val="en-US" w:eastAsia="zh-CN"/>
              </w:rPr>
            </w:pPr>
          </w:p>
        </w:tc>
      </w:tr>
      <w:tr w14:paraId="6A8D9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660" w:hRule="atLeast"/>
        </w:trPr>
        <w:tc>
          <w:tcPr>
            <w:tcW w:w="116" w:type="pct"/>
            <w:vMerge w:val="continue"/>
            <w:shd w:val="clear" w:color="auto" w:fill="auto"/>
            <w:tcMar>
              <w:top w:w="15" w:type="dxa"/>
              <w:left w:w="15" w:type="dxa"/>
              <w:right w:w="15" w:type="dxa"/>
            </w:tcMar>
            <w:vAlign w:val="center"/>
          </w:tcPr>
          <w:p w14:paraId="1333F623">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5C488521">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7CD0FA4C">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2205E5BD">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0EE11386">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2518258F">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造成城市道路工程质量存在重大缺陷</w:t>
            </w:r>
            <w:r>
              <w:rPr>
                <w:rFonts w:hint="default" w:ascii="Times New Roman" w:hAnsi="Times New Roman" w:cs="Times New Roman" w:eastAsiaTheme="minorEastAsia"/>
                <w:color w:val="auto"/>
                <w:kern w:val="0"/>
                <w:sz w:val="18"/>
                <w:szCs w:val="18"/>
                <w:highlight w:val="none"/>
                <w:lang w:eastAsia="zh-CN"/>
              </w:rPr>
              <w:t>；</w:t>
            </w:r>
          </w:p>
          <w:p w14:paraId="3122B0D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工程完成量</w:t>
            </w:r>
            <w:r>
              <w:rPr>
                <w:rFonts w:hint="default" w:ascii="Times New Roman" w:hAnsi="Times New Roman" w:cs="Times New Roman" w:eastAsiaTheme="minorEastAsia"/>
                <w:color w:val="auto"/>
                <w:kern w:val="0"/>
                <w:sz w:val="18"/>
                <w:szCs w:val="18"/>
                <w:highlight w:val="none"/>
                <w:lang w:val="en-US" w:eastAsia="zh-CN"/>
              </w:rPr>
              <w:t>10%以上50%以下</w:t>
            </w:r>
          </w:p>
        </w:tc>
        <w:tc>
          <w:tcPr>
            <w:tcW w:w="545" w:type="pct"/>
            <w:gridSpan w:val="2"/>
            <w:shd w:val="clear" w:color="auto" w:fill="auto"/>
            <w:tcMar>
              <w:top w:w="15" w:type="dxa"/>
              <w:left w:w="15" w:type="dxa"/>
              <w:right w:w="15" w:type="dxa"/>
            </w:tcMar>
            <w:vAlign w:val="center"/>
          </w:tcPr>
          <w:p w14:paraId="532C0D8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w:t>
            </w:r>
            <w:r>
              <w:rPr>
                <w:rFonts w:hint="default" w:ascii="Times New Roman" w:hAnsi="Times New Roman" w:cs="Times New Roman" w:eastAsiaTheme="minorEastAsia"/>
                <w:color w:val="auto"/>
                <w:kern w:val="0"/>
                <w:sz w:val="18"/>
                <w:szCs w:val="18"/>
                <w:highlight w:val="none"/>
                <w:lang w:val="en-US" w:eastAsia="zh-CN"/>
              </w:rPr>
              <w:t>9000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2.1</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元以下的罚款；已经取得设计、施工资格证书，情节严重的，提请原发证机关吊销设计、施工资格证书</w:t>
            </w:r>
          </w:p>
        </w:tc>
        <w:tc>
          <w:tcPr>
            <w:tcW w:w="260" w:type="pct"/>
            <w:gridSpan w:val="3"/>
            <w:vMerge w:val="continue"/>
            <w:shd w:val="clear" w:color="auto" w:fill="auto"/>
            <w:tcMar>
              <w:top w:w="15" w:type="dxa"/>
              <w:left w:w="15" w:type="dxa"/>
              <w:right w:w="15" w:type="dxa"/>
            </w:tcMar>
            <w:vAlign w:val="center"/>
          </w:tcPr>
          <w:p w14:paraId="23E87DC4">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2D8A296E">
            <w:pPr>
              <w:shd w:val="clear"/>
              <w:rPr>
                <w:rFonts w:hint="default" w:ascii="Times New Roman" w:hAnsi="Times New Roman" w:cs="Times New Roman" w:eastAsiaTheme="minorEastAsia"/>
                <w:color w:val="auto"/>
                <w:sz w:val="18"/>
                <w:szCs w:val="18"/>
                <w:highlight w:val="none"/>
              </w:rPr>
            </w:pPr>
          </w:p>
        </w:tc>
      </w:tr>
      <w:tr w14:paraId="5998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852" w:hRule="atLeast"/>
        </w:trPr>
        <w:tc>
          <w:tcPr>
            <w:tcW w:w="116" w:type="pct"/>
            <w:vMerge w:val="continue"/>
            <w:shd w:val="clear" w:color="auto" w:fill="auto"/>
            <w:tcMar>
              <w:top w:w="15" w:type="dxa"/>
              <w:left w:w="15" w:type="dxa"/>
              <w:right w:w="15" w:type="dxa"/>
            </w:tcMar>
            <w:vAlign w:val="center"/>
          </w:tcPr>
          <w:p w14:paraId="43283334">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4D3536CC">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7FA930DE">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47A6057E">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59600974">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65F08CE5">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已</w:t>
            </w:r>
            <w:r>
              <w:rPr>
                <w:rFonts w:hint="default" w:ascii="Times New Roman" w:hAnsi="Times New Roman" w:cs="Times New Roman" w:eastAsiaTheme="minorEastAsia"/>
                <w:color w:val="auto"/>
                <w:kern w:val="0"/>
                <w:sz w:val="18"/>
                <w:szCs w:val="18"/>
                <w:highlight w:val="none"/>
              </w:rPr>
              <w:t>造成城市道路整体停运或其它严重危害后果</w:t>
            </w:r>
            <w:r>
              <w:rPr>
                <w:rFonts w:hint="default" w:ascii="Times New Roman" w:hAnsi="Times New Roman" w:cs="Times New Roman" w:eastAsiaTheme="minorEastAsia"/>
                <w:color w:val="auto"/>
                <w:kern w:val="0"/>
                <w:sz w:val="18"/>
                <w:szCs w:val="18"/>
                <w:highlight w:val="none"/>
                <w:lang w:eastAsia="zh-CN"/>
              </w:rPr>
              <w:t>；</w:t>
            </w:r>
          </w:p>
          <w:p w14:paraId="7ADF50F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工程完成量在</w:t>
            </w:r>
            <w:r>
              <w:rPr>
                <w:rFonts w:hint="default" w:ascii="Times New Roman" w:hAnsi="Times New Roman" w:cs="Times New Roman" w:eastAsiaTheme="minorEastAsia"/>
                <w:color w:val="auto"/>
                <w:kern w:val="0"/>
                <w:sz w:val="18"/>
                <w:szCs w:val="18"/>
                <w:highlight w:val="none"/>
                <w:lang w:val="en-US" w:eastAsia="zh-CN"/>
              </w:rPr>
              <w:t>50%以上</w:t>
            </w:r>
          </w:p>
        </w:tc>
        <w:tc>
          <w:tcPr>
            <w:tcW w:w="545" w:type="pct"/>
            <w:gridSpan w:val="2"/>
            <w:shd w:val="clear" w:color="auto" w:fill="auto"/>
            <w:tcMar>
              <w:top w:w="15" w:type="dxa"/>
              <w:left w:w="15" w:type="dxa"/>
              <w:right w:w="15" w:type="dxa"/>
            </w:tcMar>
            <w:vAlign w:val="center"/>
          </w:tcPr>
          <w:p w14:paraId="16573CC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w:t>
            </w:r>
            <w:r>
              <w:rPr>
                <w:rFonts w:hint="default" w:ascii="Times New Roman" w:hAnsi="Times New Roman" w:cs="Times New Roman" w:eastAsiaTheme="minorEastAsia"/>
                <w:color w:val="auto"/>
                <w:kern w:val="0"/>
                <w:sz w:val="18"/>
                <w:szCs w:val="18"/>
                <w:highlight w:val="none"/>
                <w:lang w:val="en-US" w:eastAsia="zh-CN"/>
              </w:rPr>
              <w:t>2.1</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元以下的罚款；已经取得设计、施工资格证书，情节严重的，提请原发证机关吊销设计、施工资格证书</w:t>
            </w:r>
          </w:p>
        </w:tc>
        <w:tc>
          <w:tcPr>
            <w:tcW w:w="260" w:type="pct"/>
            <w:gridSpan w:val="3"/>
            <w:vMerge w:val="continue"/>
            <w:shd w:val="clear" w:color="auto" w:fill="auto"/>
            <w:tcMar>
              <w:top w:w="15" w:type="dxa"/>
              <w:left w:w="15" w:type="dxa"/>
              <w:right w:w="15" w:type="dxa"/>
            </w:tcMar>
            <w:vAlign w:val="center"/>
          </w:tcPr>
          <w:p w14:paraId="20DD1161">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79DE5D07">
            <w:pPr>
              <w:shd w:val="clear"/>
              <w:rPr>
                <w:rFonts w:hint="default" w:ascii="Times New Roman" w:hAnsi="Times New Roman" w:cs="Times New Roman" w:eastAsiaTheme="minorEastAsia"/>
                <w:color w:val="auto"/>
                <w:sz w:val="18"/>
                <w:szCs w:val="18"/>
                <w:highlight w:val="none"/>
              </w:rPr>
            </w:pPr>
          </w:p>
        </w:tc>
      </w:tr>
      <w:tr w14:paraId="7514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623" w:hRule="atLeast"/>
        </w:trPr>
        <w:tc>
          <w:tcPr>
            <w:tcW w:w="116" w:type="pct"/>
            <w:vMerge w:val="restart"/>
            <w:shd w:val="clear" w:color="auto" w:fill="auto"/>
            <w:tcMar>
              <w:top w:w="15" w:type="dxa"/>
              <w:left w:w="15" w:type="dxa"/>
              <w:right w:w="15" w:type="dxa"/>
            </w:tcMar>
            <w:vAlign w:val="center"/>
          </w:tcPr>
          <w:p w14:paraId="1B9E6B9D">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111</w:t>
            </w:r>
          </w:p>
        </w:tc>
        <w:tc>
          <w:tcPr>
            <w:tcW w:w="411" w:type="pct"/>
            <w:gridSpan w:val="2"/>
            <w:vMerge w:val="restart"/>
            <w:shd w:val="clear" w:color="auto" w:fill="auto"/>
            <w:tcMar>
              <w:top w:w="15" w:type="dxa"/>
              <w:left w:w="15" w:type="dxa"/>
              <w:right w:w="15" w:type="dxa"/>
            </w:tcMar>
            <w:vAlign w:val="center"/>
          </w:tcPr>
          <w:p w14:paraId="22C1AFC1">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在城市景观照明中有过度照明等超能耗标准行为，逾期未改正</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03DAEA1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《城市照明管理规定》第十九条第二款：“任何单位不得在城市景观照明中有过度照明等超能耗标准的行为。”</w:t>
            </w:r>
          </w:p>
        </w:tc>
        <w:tc>
          <w:tcPr>
            <w:tcW w:w="1314" w:type="pct"/>
            <w:gridSpan w:val="2"/>
            <w:vMerge w:val="restart"/>
            <w:shd w:val="clear" w:color="auto" w:fill="auto"/>
            <w:tcMar>
              <w:top w:w="15" w:type="dxa"/>
              <w:left w:w="15" w:type="dxa"/>
              <w:right w:w="15" w:type="dxa"/>
            </w:tcMar>
            <w:vAlign w:val="center"/>
          </w:tcPr>
          <w:p w14:paraId="0BDCDE27">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《城市照明管理规定》第三十一条：“违反本规定，在城市景观照明中有过度照明等超能耗标准行为的，由城市照明主管部门责令限期改正；逾期未改正的，处以1000元以上3万元以下的罚款。”</w:t>
            </w:r>
          </w:p>
        </w:tc>
        <w:tc>
          <w:tcPr>
            <w:tcW w:w="177" w:type="pct"/>
            <w:gridSpan w:val="2"/>
            <w:shd w:val="clear" w:color="auto" w:fill="auto"/>
            <w:tcMar>
              <w:top w:w="15" w:type="dxa"/>
              <w:left w:w="15" w:type="dxa"/>
              <w:right w:w="15" w:type="dxa"/>
            </w:tcMar>
            <w:vAlign w:val="center"/>
          </w:tcPr>
          <w:p w14:paraId="69BED665">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56CB846B">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逾期5天</w:t>
            </w:r>
            <w:r>
              <w:rPr>
                <w:rFonts w:hint="default" w:ascii="Times New Roman" w:hAnsi="Times New Roman" w:cs="Times New Roman" w:eastAsiaTheme="minorEastAsia"/>
                <w:color w:val="auto"/>
                <w:kern w:val="0"/>
                <w:sz w:val="18"/>
                <w:szCs w:val="18"/>
                <w:highlight w:val="none"/>
                <w:lang w:eastAsia="zh-CN"/>
              </w:rPr>
              <w:t>以下改正；</w:t>
            </w:r>
          </w:p>
          <w:p w14:paraId="1ECB964F">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超过能耗标准限值10%以下</w:t>
            </w:r>
          </w:p>
        </w:tc>
        <w:tc>
          <w:tcPr>
            <w:tcW w:w="545" w:type="pct"/>
            <w:gridSpan w:val="2"/>
            <w:shd w:val="clear" w:color="auto" w:fill="auto"/>
            <w:tcMar>
              <w:top w:w="15" w:type="dxa"/>
              <w:left w:w="15" w:type="dxa"/>
              <w:right w:w="15" w:type="dxa"/>
            </w:tcMar>
            <w:vAlign w:val="center"/>
          </w:tcPr>
          <w:p w14:paraId="4FE78B6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处以1000元以上</w:t>
            </w:r>
            <w:r>
              <w:rPr>
                <w:rFonts w:hint="default" w:ascii="Times New Roman" w:hAnsi="Times New Roman" w:cs="Times New Roman" w:eastAsiaTheme="minorEastAsia"/>
                <w:color w:val="auto"/>
                <w:kern w:val="0"/>
                <w:sz w:val="18"/>
                <w:szCs w:val="18"/>
                <w:highlight w:val="none"/>
                <w:lang w:val="en-US" w:eastAsia="zh-CN"/>
              </w:rPr>
              <w:t>9700</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restart"/>
            <w:shd w:val="clear" w:color="auto" w:fill="auto"/>
            <w:tcMar>
              <w:top w:w="15" w:type="dxa"/>
              <w:left w:w="15" w:type="dxa"/>
              <w:right w:w="15" w:type="dxa"/>
            </w:tcMar>
            <w:vAlign w:val="center"/>
          </w:tcPr>
          <w:p w14:paraId="3A66D2C3">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w:t>
            </w:r>
          </w:p>
          <w:p w14:paraId="481CD855">
            <w:pPr>
              <w:widowControl/>
              <w:shd w:val="clear"/>
              <w:jc w:val="left"/>
              <w:textAlignment w:val="center"/>
              <w:rPr>
                <w:rFonts w:hint="default" w:ascii="Times New Roman" w:hAnsi="Times New Roman" w:cs="Times New Roman" w:eastAsiaTheme="minorEastAsia"/>
                <w:color w:val="auto"/>
                <w:sz w:val="18"/>
                <w:szCs w:val="18"/>
                <w:highlight w:val="none"/>
              </w:rPr>
            </w:pPr>
          </w:p>
          <w:p w14:paraId="7B8F77C5">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60CBEA68">
            <w:pPr>
              <w:shd w:val="clear"/>
              <w:rPr>
                <w:rFonts w:hint="default" w:ascii="Times New Roman" w:hAnsi="Times New Roman" w:cs="Times New Roman" w:eastAsiaTheme="minorEastAsia"/>
                <w:color w:val="auto"/>
                <w:sz w:val="18"/>
                <w:szCs w:val="18"/>
                <w:highlight w:val="none"/>
                <w:lang w:val="en-US" w:eastAsia="zh-CN"/>
              </w:rPr>
            </w:pPr>
          </w:p>
        </w:tc>
      </w:tr>
      <w:tr w14:paraId="1287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578" w:hRule="atLeast"/>
        </w:trPr>
        <w:tc>
          <w:tcPr>
            <w:tcW w:w="116" w:type="pct"/>
            <w:vMerge w:val="continue"/>
            <w:shd w:val="clear" w:color="auto" w:fill="auto"/>
            <w:tcMar>
              <w:top w:w="15" w:type="dxa"/>
              <w:left w:w="15" w:type="dxa"/>
              <w:right w:w="15" w:type="dxa"/>
            </w:tcMar>
            <w:vAlign w:val="center"/>
          </w:tcPr>
          <w:p w14:paraId="47C0055F">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4915DA34">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5DD13503">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4AF2D8B5">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62984ACF">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02ADEC93">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逾期5天</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10天</w:t>
            </w:r>
            <w:r>
              <w:rPr>
                <w:rFonts w:hint="default" w:ascii="Times New Roman" w:hAnsi="Times New Roman" w:cs="Times New Roman" w:eastAsiaTheme="minorEastAsia"/>
                <w:color w:val="auto"/>
                <w:kern w:val="0"/>
                <w:sz w:val="18"/>
                <w:szCs w:val="18"/>
                <w:highlight w:val="none"/>
                <w:lang w:eastAsia="zh-CN"/>
              </w:rPr>
              <w:t>以下改正；</w:t>
            </w:r>
          </w:p>
          <w:p w14:paraId="618A9AA9">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超过能耗标准限值</w:t>
            </w:r>
            <w:r>
              <w:rPr>
                <w:rFonts w:hint="default" w:ascii="Times New Roman" w:hAnsi="Times New Roman" w:cs="Times New Roman" w:eastAsiaTheme="minorEastAsia"/>
                <w:color w:val="auto"/>
                <w:kern w:val="0"/>
                <w:sz w:val="18"/>
                <w:szCs w:val="18"/>
                <w:highlight w:val="none"/>
                <w:lang w:val="en-US" w:eastAsia="zh-CN"/>
              </w:rPr>
              <w:t>10%以上30%以下</w:t>
            </w:r>
          </w:p>
        </w:tc>
        <w:tc>
          <w:tcPr>
            <w:tcW w:w="545" w:type="pct"/>
            <w:gridSpan w:val="2"/>
            <w:shd w:val="clear" w:color="auto" w:fill="auto"/>
            <w:tcMar>
              <w:top w:w="15" w:type="dxa"/>
              <w:left w:w="15" w:type="dxa"/>
              <w:right w:w="15" w:type="dxa"/>
            </w:tcMar>
            <w:vAlign w:val="center"/>
          </w:tcPr>
          <w:p w14:paraId="1C19B74A">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处以</w:t>
            </w:r>
            <w:r>
              <w:rPr>
                <w:rFonts w:hint="default" w:ascii="Times New Roman" w:hAnsi="Times New Roman" w:cs="Times New Roman" w:eastAsiaTheme="minorEastAsia"/>
                <w:color w:val="auto"/>
                <w:kern w:val="0"/>
                <w:sz w:val="18"/>
                <w:szCs w:val="18"/>
                <w:highlight w:val="none"/>
                <w:lang w:val="en-US" w:eastAsia="zh-CN"/>
              </w:rPr>
              <w:t>9700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2.13</w:t>
            </w:r>
            <w:r>
              <w:rPr>
                <w:rFonts w:hint="default" w:ascii="Times New Roman" w:hAnsi="Times New Roman" w:cs="Times New Roman" w:eastAsiaTheme="minorEastAsia"/>
                <w:color w:val="auto"/>
                <w:kern w:val="0"/>
                <w:sz w:val="18"/>
                <w:szCs w:val="18"/>
                <w:highlight w:val="none"/>
              </w:rPr>
              <w:t>万元以下的罚款</w:t>
            </w:r>
          </w:p>
        </w:tc>
        <w:tc>
          <w:tcPr>
            <w:tcW w:w="260" w:type="pct"/>
            <w:gridSpan w:val="3"/>
            <w:vMerge w:val="continue"/>
            <w:shd w:val="clear" w:color="auto" w:fill="auto"/>
            <w:tcMar>
              <w:top w:w="15" w:type="dxa"/>
              <w:left w:w="15" w:type="dxa"/>
              <w:right w:w="15" w:type="dxa"/>
            </w:tcMar>
            <w:vAlign w:val="center"/>
          </w:tcPr>
          <w:p w14:paraId="51DAE8B1">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4189F627">
            <w:pPr>
              <w:shd w:val="clear"/>
              <w:rPr>
                <w:rFonts w:hint="default" w:ascii="Times New Roman" w:hAnsi="Times New Roman" w:cs="Times New Roman" w:eastAsiaTheme="minorEastAsia"/>
                <w:color w:val="auto"/>
                <w:sz w:val="18"/>
                <w:szCs w:val="18"/>
                <w:highlight w:val="none"/>
              </w:rPr>
            </w:pPr>
          </w:p>
        </w:tc>
      </w:tr>
      <w:tr w14:paraId="2DF6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683" w:hRule="atLeast"/>
        </w:trPr>
        <w:tc>
          <w:tcPr>
            <w:tcW w:w="116" w:type="pct"/>
            <w:vMerge w:val="continue"/>
            <w:shd w:val="clear" w:color="auto" w:fill="auto"/>
            <w:tcMar>
              <w:top w:w="15" w:type="dxa"/>
              <w:left w:w="15" w:type="dxa"/>
              <w:right w:w="15" w:type="dxa"/>
            </w:tcMar>
            <w:vAlign w:val="center"/>
          </w:tcPr>
          <w:p w14:paraId="3E754B47">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5AA774CC">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71D79E0E">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5467D967">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5B983490">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6ABFA22C">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逾期10天</w:t>
            </w:r>
            <w:r>
              <w:rPr>
                <w:rFonts w:hint="default" w:ascii="Times New Roman" w:hAnsi="Times New Roman" w:cs="Times New Roman" w:eastAsiaTheme="minorEastAsia"/>
                <w:color w:val="auto"/>
                <w:kern w:val="0"/>
                <w:sz w:val="18"/>
                <w:szCs w:val="18"/>
                <w:highlight w:val="none"/>
                <w:lang w:eastAsia="zh-CN"/>
              </w:rPr>
              <w:t>以上改正；</w:t>
            </w:r>
          </w:p>
          <w:p w14:paraId="4C93E2E1">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超过能耗标准限值</w:t>
            </w:r>
            <w:r>
              <w:rPr>
                <w:rFonts w:hint="default" w:ascii="Times New Roman" w:hAnsi="Times New Roman" w:cs="Times New Roman" w:eastAsiaTheme="minorEastAsia"/>
                <w:color w:val="auto"/>
                <w:kern w:val="0"/>
                <w:sz w:val="18"/>
                <w:szCs w:val="18"/>
                <w:highlight w:val="none"/>
                <w:lang w:val="en-US" w:eastAsia="zh-CN"/>
              </w:rPr>
              <w:t>30%以上</w:t>
            </w:r>
          </w:p>
        </w:tc>
        <w:tc>
          <w:tcPr>
            <w:tcW w:w="545" w:type="pct"/>
            <w:gridSpan w:val="2"/>
            <w:shd w:val="clear" w:color="auto" w:fill="auto"/>
            <w:tcMar>
              <w:top w:w="15" w:type="dxa"/>
              <w:left w:w="15" w:type="dxa"/>
              <w:right w:w="15" w:type="dxa"/>
            </w:tcMar>
            <w:vAlign w:val="center"/>
          </w:tcPr>
          <w:p w14:paraId="0D097367">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处以</w:t>
            </w:r>
            <w:r>
              <w:rPr>
                <w:rFonts w:hint="default" w:ascii="Times New Roman" w:hAnsi="Times New Roman" w:cs="Times New Roman" w:eastAsiaTheme="minorEastAsia"/>
                <w:color w:val="auto"/>
                <w:kern w:val="0"/>
                <w:sz w:val="18"/>
                <w:szCs w:val="18"/>
                <w:highlight w:val="none"/>
                <w:lang w:val="en-US" w:eastAsia="zh-CN"/>
              </w:rPr>
              <w:t>2.13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31A0A5BC">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2BA10429">
            <w:pPr>
              <w:shd w:val="clear"/>
              <w:rPr>
                <w:rFonts w:hint="default" w:ascii="Times New Roman" w:hAnsi="Times New Roman" w:cs="Times New Roman" w:eastAsiaTheme="minorEastAsia"/>
                <w:color w:val="auto"/>
                <w:sz w:val="18"/>
                <w:szCs w:val="18"/>
                <w:highlight w:val="none"/>
              </w:rPr>
            </w:pPr>
          </w:p>
        </w:tc>
      </w:tr>
      <w:tr w14:paraId="7ED6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247" w:hRule="atLeast"/>
        </w:trPr>
        <w:tc>
          <w:tcPr>
            <w:tcW w:w="116" w:type="pct"/>
            <w:vMerge w:val="restart"/>
            <w:shd w:val="clear" w:color="auto" w:fill="auto"/>
            <w:tcMar>
              <w:top w:w="15" w:type="dxa"/>
              <w:left w:w="15" w:type="dxa"/>
              <w:right w:w="15" w:type="dxa"/>
            </w:tcMar>
            <w:vAlign w:val="center"/>
          </w:tcPr>
          <w:p w14:paraId="1CD73EF7">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112</w:t>
            </w:r>
          </w:p>
        </w:tc>
        <w:tc>
          <w:tcPr>
            <w:tcW w:w="411" w:type="pct"/>
            <w:gridSpan w:val="2"/>
            <w:vMerge w:val="restart"/>
            <w:shd w:val="clear" w:color="auto" w:fill="auto"/>
            <w:tcMar>
              <w:top w:w="15" w:type="dxa"/>
              <w:left w:w="15" w:type="dxa"/>
              <w:right w:w="15" w:type="dxa"/>
            </w:tcMar>
            <w:vAlign w:val="center"/>
          </w:tcPr>
          <w:p w14:paraId="269CE1DB">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在城市照明设施上刻划、涂污</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51C47FF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《城市照明管理规定》第二十八条</w:t>
            </w:r>
            <w:r>
              <w:rPr>
                <w:rFonts w:hint="default" w:ascii="Times New Roman" w:hAnsi="Times New Roman" w:cs="Times New Roman" w:eastAsiaTheme="minorEastAsia"/>
                <w:color w:val="auto"/>
                <w:kern w:val="0"/>
                <w:sz w:val="18"/>
                <w:szCs w:val="18"/>
                <w:highlight w:val="none"/>
                <w:lang w:eastAsia="zh-CN"/>
              </w:rPr>
              <w:t>第一项</w:t>
            </w:r>
            <w:r>
              <w:rPr>
                <w:rFonts w:hint="default" w:ascii="Times New Roman" w:hAnsi="Times New Roman" w:cs="Times New Roman" w:eastAsiaTheme="minorEastAsia"/>
                <w:color w:val="auto"/>
                <w:kern w:val="0"/>
                <w:sz w:val="18"/>
                <w:szCs w:val="18"/>
                <w:highlight w:val="none"/>
              </w:rPr>
              <w:t>：“任何单位和个人都应当保护城市照明设施，不得实施下列行为：（一）在城市照明设施上刻划、涂污；”</w:t>
            </w:r>
          </w:p>
        </w:tc>
        <w:tc>
          <w:tcPr>
            <w:tcW w:w="1314" w:type="pct"/>
            <w:gridSpan w:val="2"/>
            <w:vMerge w:val="restart"/>
            <w:shd w:val="clear" w:color="auto" w:fill="auto"/>
            <w:tcMar>
              <w:top w:w="15" w:type="dxa"/>
              <w:left w:w="15" w:type="dxa"/>
              <w:right w:w="15" w:type="dxa"/>
            </w:tcMar>
            <w:vAlign w:val="center"/>
          </w:tcPr>
          <w:p w14:paraId="3150AC1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照明管理规定》第三十二条：“违反本规定，有第二十八条规定行为之一的，由城市照明主管部门责令限期改正，对个人处以200元以上1000元以下的罚款；对单位处以1000元以上3万元以下的罚款；造成损失的，依法赔偿损失。”</w:t>
            </w:r>
          </w:p>
        </w:tc>
        <w:tc>
          <w:tcPr>
            <w:tcW w:w="177" w:type="pct"/>
            <w:gridSpan w:val="2"/>
            <w:shd w:val="clear" w:color="auto" w:fill="auto"/>
            <w:tcMar>
              <w:top w:w="15" w:type="dxa"/>
              <w:left w:w="15" w:type="dxa"/>
              <w:right w:w="15" w:type="dxa"/>
            </w:tcMar>
            <w:vAlign w:val="center"/>
          </w:tcPr>
          <w:p w14:paraId="2C1025D8">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56F9400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刻划、涂污</w:t>
            </w:r>
            <w:r>
              <w:rPr>
                <w:rFonts w:hint="default" w:ascii="Times New Roman" w:hAnsi="Times New Roman" w:cs="Times New Roman" w:eastAsiaTheme="minorEastAsia"/>
                <w:color w:val="auto"/>
                <w:kern w:val="0"/>
                <w:sz w:val="18"/>
                <w:szCs w:val="18"/>
                <w:highlight w:val="none"/>
                <w:lang w:val="en-US" w:eastAsia="zh-CN"/>
              </w:rPr>
              <w:t>3</w:t>
            </w:r>
            <w:r>
              <w:rPr>
                <w:rFonts w:hint="default" w:ascii="Times New Roman" w:hAnsi="Times New Roman" w:cs="Times New Roman" w:eastAsiaTheme="minorEastAsia"/>
                <w:color w:val="auto"/>
                <w:kern w:val="0"/>
                <w:sz w:val="18"/>
                <w:szCs w:val="18"/>
                <w:highlight w:val="none"/>
              </w:rPr>
              <w:t>处（次）</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6B0178A6">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对个人处以200元以上</w:t>
            </w:r>
            <w:r>
              <w:rPr>
                <w:rFonts w:hint="default" w:ascii="Times New Roman" w:hAnsi="Times New Roman" w:cs="Times New Roman" w:eastAsiaTheme="minorEastAsia"/>
                <w:color w:val="auto"/>
                <w:kern w:val="0"/>
                <w:sz w:val="18"/>
                <w:szCs w:val="18"/>
                <w:highlight w:val="none"/>
                <w:lang w:val="en-US" w:eastAsia="zh-CN"/>
              </w:rPr>
              <w:t>440</w:t>
            </w:r>
            <w:r>
              <w:rPr>
                <w:rFonts w:hint="default" w:ascii="Times New Roman" w:hAnsi="Times New Roman" w:cs="Times New Roman" w:eastAsiaTheme="minorEastAsia"/>
                <w:color w:val="auto"/>
                <w:kern w:val="0"/>
                <w:sz w:val="18"/>
                <w:szCs w:val="18"/>
                <w:highlight w:val="none"/>
              </w:rPr>
              <w:t>元以下的罚款；对单位处以1000元以上</w:t>
            </w:r>
            <w:r>
              <w:rPr>
                <w:rFonts w:hint="default" w:ascii="Times New Roman" w:hAnsi="Times New Roman" w:cs="Times New Roman" w:eastAsiaTheme="minorEastAsia"/>
                <w:color w:val="auto"/>
                <w:kern w:val="0"/>
                <w:sz w:val="18"/>
                <w:szCs w:val="18"/>
                <w:highlight w:val="none"/>
                <w:lang w:val="en-US" w:eastAsia="zh-CN"/>
              </w:rPr>
              <w:t>9700</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restart"/>
            <w:shd w:val="clear" w:color="auto" w:fill="auto"/>
            <w:tcMar>
              <w:top w:w="15" w:type="dxa"/>
              <w:left w:w="15" w:type="dxa"/>
              <w:right w:w="15" w:type="dxa"/>
            </w:tcMar>
            <w:vAlign w:val="center"/>
          </w:tcPr>
          <w:p w14:paraId="3F7B6689">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责令限期改正；造成损失的，依法赔偿损失</w:t>
            </w:r>
          </w:p>
          <w:p w14:paraId="0A360731">
            <w:pPr>
              <w:widowControl/>
              <w:shd w:val="clear"/>
              <w:jc w:val="left"/>
              <w:textAlignment w:val="center"/>
              <w:rPr>
                <w:rFonts w:hint="default" w:ascii="Times New Roman" w:hAnsi="Times New Roman" w:cs="Times New Roman" w:eastAsiaTheme="minorEastAsia"/>
                <w:color w:val="auto"/>
                <w:sz w:val="18"/>
                <w:szCs w:val="18"/>
                <w:highlight w:val="none"/>
              </w:rPr>
            </w:pPr>
          </w:p>
          <w:p w14:paraId="5B9A6B4A">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33E5C31B">
            <w:pPr>
              <w:shd w:val="clear"/>
              <w:rPr>
                <w:rFonts w:hint="default" w:ascii="Times New Roman" w:hAnsi="Times New Roman" w:cs="Times New Roman" w:eastAsiaTheme="minorEastAsia"/>
                <w:color w:val="auto"/>
                <w:sz w:val="18"/>
                <w:szCs w:val="18"/>
                <w:highlight w:val="none"/>
                <w:lang w:val="en-US" w:eastAsia="zh-CN"/>
              </w:rPr>
            </w:pPr>
          </w:p>
        </w:tc>
      </w:tr>
      <w:tr w14:paraId="2ED9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050" w:hRule="atLeast"/>
        </w:trPr>
        <w:tc>
          <w:tcPr>
            <w:tcW w:w="116" w:type="pct"/>
            <w:vMerge w:val="continue"/>
            <w:shd w:val="clear" w:color="auto" w:fill="auto"/>
            <w:tcMar>
              <w:top w:w="15" w:type="dxa"/>
              <w:left w:w="15" w:type="dxa"/>
              <w:right w:w="15" w:type="dxa"/>
            </w:tcMar>
            <w:vAlign w:val="center"/>
          </w:tcPr>
          <w:p w14:paraId="415F1FE0">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0A8FB701">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63177262">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163DC2AC">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3C2155D5">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2BBF466F">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刻划、涂污</w:t>
            </w:r>
            <w:r>
              <w:rPr>
                <w:rFonts w:hint="default" w:ascii="Times New Roman" w:hAnsi="Times New Roman" w:cs="Times New Roman" w:eastAsiaTheme="minorEastAsia"/>
                <w:color w:val="auto"/>
                <w:kern w:val="0"/>
                <w:sz w:val="18"/>
                <w:szCs w:val="18"/>
                <w:highlight w:val="none"/>
                <w:lang w:val="en-US" w:eastAsia="zh-CN"/>
              </w:rPr>
              <w:t>3</w:t>
            </w:r>
            <w:r>
              <w:rPr>
                <w:rFonts w:hint="default" w:ascii="Times New Roman" w:hAnsi="Times New Roman" w:cs="Times New Roman" w:eastAsiaTheme="minorEastAsia"/>
                <w:color w:val="auto"/>
                <w:kern w:val="0"/>
                <w:sz w:val="18"/>
                <w:szCs w:val="18"/>
                <w:highlight w:val="none"/>
              </w:rPr>
              <w:t>处（次）</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5处（次）</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0D39B3FF">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对个人处以</w:t>
            </w:r>
            <w:r>
              <w:rPr>
                <w:rFonts w:hint="default" w:ascii="Times New Roman" w:hAnsi="Times New Roman" w:cs="Times New Roman" w:eastAsiaTheme="minorEastAsia"/>
                <w:color w:val="auto"/>
                <w:kern w:val="0"/>
                <w:sz w:val="18"/>
                <w:szCs w:val="18"/>
                <w:highlight w:val="none"/>
                <w:lang w:val="en-US" w:eastAsia="zh-CN"/>
              </w:rPr>
              <w:t>440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760</w:t>
            </w:r>
            <w:r>
              <w:rPr>
                <w:rFonts w:hint="default" w:ascii="Times New Roman" w:hAnsi="Times New Roman" w:cs="Times New Roman" w:eastAsiaTheme="minorEastAsia"/>
                <w:color w:val="auto"/>
                <w:kern w:val="0"/>
                <w:sz w:val="18"/>
                <w:szCs w:val="18"/>
                <w:highlight w:val="none"/>
              </w:rPr>
              <w:t>元以下的罚款；对单位处以</w:t>
            </w:r>
            <w:r>
              <w:rPr>
                <w:rFonts w:hint="default" w:ascii="Times New Roman" w:hAnsi="Times New Roman" w:cs="Times New Roman" w:eastAsiaTheme="minorEastAsia"/>
                <w:color w:val="auto"/>
                <w:kern w:val="0"/>
                <w:sz w:val="18"/>
                <w:szCs w:val="18"/>
                <w:highlight w:val="none"/>
                <w:lang w:val="en-US" w:eastAsia="zh-CN"/>
              </w:rPr>
              <w:t>9700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2.13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20A4367F">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4EF348EB">
            <w:pPr>
              <w:shd w:val="clear"/>
              <w:rPr>
                <w:rFonts w:hint="default" w:ascii="Times New Roman" w:hAnsi="Times New Roman" w:cs="Times New Roman" w:eastAsiaTheme="minorEastAsia"/>
                <w:color w:val="auto"/>
                <w:sz w:val="18"/>
                <w:szCs w:val="18"/>
                <w:highlight w:val="none"/>
              </w:rPr>
            </w:pPr>
          </w:p>
        </w:tc>
      </w:tr>
      <w:tr w14:paraId="5E85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050" w:hRule="atLeast"/>
        </w:trPr>
        <w:tc>
          <w:tcPr>
            <w:tcW w:w="116" w:type="pct"/>
            <w:vMerge w:val="continue"/>
            <w:shd w:val="clear" w:color="auto" w:fill="auto"/>
            <w:tcMar>
              <w:top w:w="15" w:type="dxa"/>
              <w:left w:w="15" w:type="dxa"/>
              <w:right w:w="15" w:type="dxa"/>
            </w:tcMar>
            <w:vAlign w:val="center"/>
          </w:tcPr>
          <w:p w14:paraId="4AF07D00">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77C7EAE9">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4347ED48">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6E0CBAF7">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400ACD23">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718265E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刻划、涂污5处（次）</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667D5E7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对个人处以</w:t>
            </w:r>
            <w:r>
              <w:rPr>
                <w:rFonts w:hint="default" w:ascii="Times New Roman" w:hAnsi="Times New Roman" w:cs="Times New Roman" w:eastAsiaTheme="minorEastAsia"/>
                <w:color w:val="auto"/>
                <w:kern w:val="0"/>
                <w:sz w:val="18"/>
                <w:szCs w:val="18"/>
                <w:highlight w:val="none"/>
                <w:lang w:val="en-US" w:eastAsia="zh-CN"/>
              </w:rPr>
              <w:t>760</w:t>
            </w:r>
            <w:r>
              <w:rPr>
                <w:rFonts w:hint="default" w:ascii="Times New Roman" w:hAnsi="Times New Roman" w:cs="Times New Roman" w:eastAsiaTheme="minorEastAsia"/>
                <w:color w:val="auto"/>
                <w:kern w:val="0"/>
                <w:sz w:val="18"/>
                <w:szCs w:val="18"/>
                <w:highlight w:val="none"/>
              </w:rPr>
              <w:t>元以上1000元以下的罚款；对单位处以</w:t>
            </w:r>
            <w:r>
              <w:rPr>
                <w:rFonts w:hint="default" w:ascii="Times New Roman" w:hAnsi="Times New Roman" w:cs="Times New Roman" w:eastAsiaTheme="minorEastAsia"/>
                <w:color w:val="auto"/>
                <w:kern w:val="0"/>
                <w:sz w:val="18"/>
                <w:szCs w:val="18"/>
                <w:highlight w:val="none"/>
                <w:lang w:val="en-US" w:eastAsia="zh-CN"/>
              </w:rPr>
              <w:t>2.13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7C66D17A">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266AA1B2">
            <w:pPr>
              <w:shd w:val="clear"/>
              <w:rPr>
                <w:rFonts w:hint="default" w:ascii="Times New Roman" w:hAnsi="Times New Roman" w:cs="Times New Roman" w:eastAsiaTheme="minorEastAsia"/>
                <w:color w:val="auto"/>
                <w:sz w:val="18"/>
                <w:szCs w:val="18"/>
                <w:highlight w:val="none"/>
              </w:rPr>
            </w:pPr>
          </w:p>
        </w:tc>
      </w:tr>
      <w:tr w14:paraId="64F8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043" w:hRule="atLeast"/>
        </w:trPr>
        <w:tc>
          <w:tcPr>
            <w:tcW w:w="116" w:type="pct"/>
            <w:vMerge w:val="restart"/>
            <w:shd w:val="clear" w:color="auto" w:fill="auto"/>
            <w:tcMar>
              <w:top w:w="15" w:type="dxa"/>
              <w:left w:w="15" w:type="dxa"/>
              <w:right w:w="15" w:type="dxa"/>
            </w:tcMar>
            <w:vAlign w:val="center"/>
          </w:tcPr>
          <w:p w14:paraId="4F6A9CAD">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113</w:t>
            </w:r>
          </w:p>
        </w:tc>
        <w:tc>
          <w:tcPr>
            <w:tcW w:w="411" w:type="pct"/>
            <w:gridSpan w:val="2"/>
            <w:vMerge w:val="restart"/>
            <w:shd w:val="clear" w:color="auto" w:fill="auto"/>
            <w:tcMar>
              <w:top w:w="15" w:type="dxa"/>
              <w:left w:w="15" w:type="dxa"/>
              <w:right w:w="15" w:type="dxa"/>
            </w:tcMar>
            <w:vAlign w:val="center"/>
          </w:tcPr>
          <w:p w14:paraId="69103E39">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在城市照明设施安全距离内，擅自植树、挖坑取土或者设置其他物体，或者倾倒含酸、碱、盐等腐蚀物或者具有腐蚀性的废渣、废液</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49DE6BFF">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《城市照明管理规定》第二十八条</w:t>
            </w:r>
            <w:r>
              <w:rPr>
                <w:rFonts w:hint="default" w:ascii="Times New Roman" w:hAnsi="Times New Roman" w:cs="Times New Roman" w:eastAsiaTheme="minorEastAsia"/>
                <w:color w:val="auto"/>
                <w:kern w:val="0"/>
                <w:sz w:val="18"/>
                <w:szCs w:val="18"/>
                <w:highlight w:val="none"/>
                <w:lang w:eastAsia="zh-CN"/>
              </w:rPr>
              <w:t>第二项</w:t>
            </w:r>
            <w:r>
              <w:rPr>
                <w:rFonts w:hint="default" w:ascii="Times New Roman" w:hAnsi="Times New Roman" w:cs="Times New Roman" w:eastAsiaTheme="minorEastAsia"/>
                <w:color w:val="auto"/>
                <w:kern w:val="0"/>
                <w:sz w:val="18"/>
                <w:szCs w:val="18"/>
                <w:highlight w:val="none"/>
              </w:rPr>
              <w:t>：“任何单位和个人都应当保护城市照明设施，不得实施下列行为：（二）在城市照明设施安全距离内，擅自植树、挖坑取土或者设置其他物体，或者倾倒含酸、碱、盐等腐蚀物或者具有腐蚀性的废渣、废液；”</w:t>
            </w:r>
          </w:p>
        </w:tc>
        <w:tc>
          <w:tcPr>
            <w:tcW w:w="1314" w:type="pct"/>
            <w:gridSpan w:val="2"/>
            <w:vMerge w:val="restart"/>
            <w:shd w:val="clear" w:color="auto" w:fill="auto"/>
            <w:tcMar>
              <w:top w:w="15" w:type="dxa"/>
              <w:left w:w="15" w:type="dxa"/>
              <w:right w:w="15" w:type="dxa"/>
            </w:tcMar>
            <w:vAlign w:val="center"/>
          </w:tcPr>
          <w:p w14:paraId="4183295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照明管理规定》第三十二条：“违反本规定，有第二十八条规定行为之一的，由城市照明主管部门责令限期改正，对个人处以200元以上1000元以下的罚款；对单位处以1000元以上3万元以下的罚款；造成损失的，依法赔偿损失。”</w:t>
            </w:r>
          </w:p>
        </w:tc>
        <w:tc>
          <w:tcPr>
            <w:tcW w:w="177" w:type="pct"/>
            <w:gridSpan w:val="2"/>
            <w:shd w:val="clear" w:color="auto" w:fill="auto"/>
            <w:tcMar>
              <w:top w:w="15" w:type="dxa"/>
              <w:left w:w="15" w:type="dxa"/>
              <w:right w:w="15" w:type="dxa"/>
            </w:tcMar>
            <w:vAlign w:val="center"/>
          </w:tcPr>
          <w:p w14:paraId="13F82B40">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5612E3A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尚未造成城市照明设施损坏</w:t>
            </w:r>
          </w:p>
        </w:tc>
        <w:tc>
          <w:tcPr>
            <w:tcW w:w="545" w:type="pct"/>
            <w:gridSpan w:val="2"/>
            <w:shd w:val="clear" w:color="auto" w:fill="auto"/>
            <w:tcMar>
              <w:top w:w="15" w:type="dxa"/>
              <w:left w:w="15" w:type="dxa"/>
              <w:right w:w="15" w:type="dxa"/>
            </w:tcMar>
            <w:vAlign w:val="center"/>
          </w:tcPr>
          <w:p w14:paraId="4C92E67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对个人处以200元以上</w:t>
            </w:r>
            <w:r>
              <w:rPr>
                <w:rFonts w:hint="default" w:ascii="Times New Roman" w:hAnsi="Times New Roman" w:cs="Times New Roman" w:eastAsiaTheme="minorEastAsia"/>
                <w:color w:val="auto"/>
                <w:kern w:val="0"/>
                <w:sz w:val="18"/>
                <w:szCs w:val="18"/>
                <w:highlight w:val="none"/>
                <w:lang w:val="en-US" w:eastAsia="zh-CN"/>
              </w:rPr>
              <w:t>440</w:t>
            </w:r>
            <w:r>
              <w:rPr>
                <w:rFonts w:hint="default" w:ascii="Times New Roman" w:hAnsi="Times New Roman" w:cs="Times New Roman" w:eastAsiaTheme="minorEastAsia"/>
                <w:color w:val="auto"/>
                <w:kern w:val="0"/>
                <w:sz w:val="18"/>
                <w:szCs w:val="18"/>
                <w:highlight w:val="none"/>
              </w:rPr>
              <w:t>元以下的罚款；对单位处以1000元以上</w:t>
            </w:r>
            <w:r>
              <w:rPr>
                <w:rFonts w:hint="default" w:ascii="Times New Roman" w:hAnsi="Times New Roman" w:cs="Times New Roman" w:eastAsiaTheme="minorEastAsia"/>
                <w:color w:val="auto"/>
                <w:kern w:val="0"/>
                <w:sz w:val="18"/>
                <w:szCs w:val="18"/>
                <w:highlight w:val="none"/>
                <w:lang w:val="en-US" w:eastAsia="zh-CN"/>
              </w:rPr>
              <w:t>9700</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restart"/>
            <w:shd w:val="clear" w:color="auto" w:fill="auto"/>
            <w:tcMar>
              <w:top w:w="15" w:type="dxa"/>
              <w:left w:w="15" w:type="dxa"/>
              <w:right w:w="15" w:type="dxa"/>
            </w:tcMar>
            <w:vAlign w:val="center"/>
          </w:tcPr>
          <w:p w14:paraId="0F86AE77">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责令限期改正；造成损失的，依法赔偿损失</w:t>
            </w:r>
          </w:p>
          <w:p w14:paraId="0CAEB60B">
            <w:pPr>
              <w:widowControl/>
              <w:shd w:val="clear"/>
              <w:jc w:val="left"/>
              <w:textAlignment w:val="center"/>
              <w:rPr>
                <w:rFonts w:hint="default" w:ascii="Times New Roman" w:hAnsi="Times New Roman" w:cs="Times New Roman" w:eastAsiaTheme="minorEastAsia"/>
                <w:color w:val="auto"/>
                <w:sz w:val="18"/>
                <w:szCs w:val="18"/>
                <w:highlight w:val="none"/>
              </w:rPr>
            </w:pPr>
          </w:p>
          <w:p w14:paraId="4D95C45D">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05969AB4">
            <w:pPr>
              <w:shd w:val="clear"/>
              <w:rPr>
                <w:rFonts w:hint="default" w:ascii="Times New Roman" w:hAnsi="Times New Roman" w:cs="Times New Roman" w:eastAsiaTheme="minorEastAsia"/>
                <w:color w:val="auto"/>
                <w:sz w:val="18"/>
                <w:szCs w:val="18"/>
                <w:highlight w:val="none"/>
                <w:lang w:val="en-US" w:eastAsia="zh-CN"/>
              </w:rPr>
            </w:pPr>
          </w:p>
        </w:tc>
      </w:tr>
      <w:tr w14:paraId="5996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998" w:hRule="atLeast"/>
        </w:trPr>
        <w:tc>
          <w:tcPr>
            <w:tcW w:w="116" w:type="pct"/>
            <w:vMerge w:val="continue"/>
            <w:shd w:val="clear" w:color="auto" w:fill="auto"/>
            <w:tcMar>
              <w:top w:w="15" w:type="dxa"/>
              <w:left w:w="15" w:type="dxa"/>
              <w:right w:w="15" w:type="dxa"/>
            </w:tcMar>
            <w:vAlign w:val="center"/>
          </w:tcPr>
          <w:p w14:paraId="188EC249">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0A334F01">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79EB25DA">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7945F64B">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7597EBAC">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431560DA">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造成城市照明设施损坏影响正常使用</w:t>
            </w:r>
          </w:p>
        </w:tc>
        <w:tc>
          <w:tcPr>
            <w:tcW w:w="545" w:type="pct"/>
            <w:gridSpan w:val="2"/>
            <w:shd w:val="clear" w:color="auto" w:fill="auto"/>
            <w:tcMar>
              <w:top w:w="15" w:type="dxa"/>
              <w:left w:w="15" w:type="dxa"/>
              <w:right w:w="15" w:type="dxa"/>
            </w:tcMar>
            <w:vAlign w:val="center"/>
          </w:tcPr>
          <w:p w14:paraId="70253EC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对个人处以</w:t>
            </w:r>
            <w:r>
              <w:rPr>
                <w:rFonts w:hint="default" w:ascii="Times New Roman" w:hAnsi="Times New Roman" w:cs="Times New Roman" w:eastAsiaTheme="minorEastAsia"/>
                <w:color w:val="auto"/>
                <w:kern w:val="0"/>
                <w:sz w:val="18"/>
                <w:szCs w:val="18"/>
                <w:highlight w:val="none"/>
                <w:lang w:val="en-US" w:eastAsia="zh-CN"/>
              </w:rPr>
              <w:t>440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760</w:t>
            </w:r>
            <w:r>
              <w:rPr>
                <w:rFonts w:hint="default" w:ascii="Times New Roman" w:hAnsi="Times New Roman" w:cs="Times New Roman" w:eastAsiaTheme="minorEastAsia"/>
                <w:color w:val="auto"/>
                <w:kern w:val="0"/>
                <w:sz w:val="18"/>
                <w:szCs w:val="18"/>
                <w:highlight w:val="none"/>
              </w:rPr>
              <w:t>元以下的罚款；对单位处以</w:t>
            </w:r>
            <w:r>
              <w:rPr>
                <w:rFonts w:hint="default" w:ascii="Times New Roman" w:hAnsi="Times New Roman" w:cs="Times New Roman" w:eastAsiaTheme="minorEastAsia"/>
                <w:color w:val="auto"/>
                <w:kern w:val="0"/>
                <w:sz w:val="18"/>
                <w:szCs w:val="18"/>
                <w:highlight w:val="none"/>
                <w:lang w:val="en-US" w:eastAsia="zh-CN"/>
              </w:rPr>
              <w:t>9700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2.13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5A9369D3">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4914ABD6">
            <w:pPr>
              <w:shd w:val="clear"/>
              <w:rPr>
                <w:rFonts w:hint="default" w:ascii="Times New Roman" w:hAnsi="Times New Roman" w:cs="Times New Roman" w:eastAsiaTheme="minorEastAsia"/>
                <w:color w:val="auto"/>
                <w:sz w:val="18"/>
                <w:szCs w:val="18"/>
                <w:highlight w:val="none"/>
              </w:rPr>
            </w:pPr>
          </w:p>
        </w:tc>
      </w:tr>
      <w:tr w14:paraId="59EE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455" w:hRule="atLeast"/>
        </w:trPr>
        <w:tc>
          <w:tcPr>
            <w:tcW w:w="116" w:type="pct"/>
            <w:vMerge w:val="continue"/>
            <w:shd w:val="clear" w:color="auto" w:fill="auto"/>
            <w:tcMar>
              <w:top w:w="15" w:type="dxa"/>
              <w:left w:w="15" w:type="dxa"/>
              <w:right w:w="15" w:type="dxa"/>
            </w:tcMar>
            <w:vAlign w:val="center"/>
          </w:tcPr>
          <w:p w14:paraId="3B66BA6D">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0EBC01C2">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7281C6C7">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640A2591">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3D532375">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16B26736">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造成城市照明设施严重损坏不能正常使用</w:t>
            </w:r>
          </w:p>
        </w:tc>
        <w:tc>
          <w:tcPr>
            <w:tcW w:w="545" w:type="pct"/>
            <w:gridSpan w:val="2"/>
            <w:shd w:val="clear" w:color="auto" w:fill="auto"/>
            <w:tcMar>
              <w:top w:w="15" w:type="dxa"/>
              <w:left w:w="15" w:type="dxa"/>
              <w:right w:w="15" w:type="dxa"/>
            </w:tcMar>
            <w:vAlign w:val="center"/>
          </w:tcPr>
          <w:p w14:paraId="4E7BFEF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对个人处以</w:t>
            </w:r>
            <w:r>
              <w:rPr>
                <w:rFonts w:hint="default" w:ascii="Times New Roman" w:hAnsi="Times New Roman" w:cs="Times New Roman" w:eastAsiaTheme="minorEastAsia"/>
                <w:color w:val="auto"/>
                <w:kern w:val="0"/>
                <w:sz w:val="18"/>
                <w:szCs w:val="18"/>
                <w:highlight w:val="none"/>
                <w:lang w:val="en-US" w:eastAsia="zh-CN"/>
              </w:rPr>
              <w:t>760</w:t>
            </w:r>
            <w:r>
              <w:rPr>
                <w:rFonts w:hint="default" w:ascii="Times New Roman" w:hAnsi="Times New Roman" w:cs="Times New Roman" w:eastAsiaTheme="minorEastAsia"/>
                <w:color w:val="auto"/>
                <w:kern w:val="0"/>
                <w:sz w:val="18"/>
                <w:szCs w:val="18"/>
                <w:highlight w:val="none"/>
              </w:rPr>
              <w:t>元以上1000元以下的罚款；对单位处以</w:t>
            </w:r>
            <w:r>
              <w:rPr>
                <w:rFonts w:hint="default" w:ascii="Times New Roman" w:hAnsi="Times New Roman" w:cs="Times New Roman" w:eastAsiaTheme="minorEastAsia"/>
                <w:color w:val="auto"/>
                <w:kern w:val="0"/>
                <w:sz w:val="18"/>
                <w:szCs w:val="18"/>
                <w:highlight w:val="none"/>
                <w:lang w:val="en-US" w:eastAsia="zh-CN"/>
              </w:rPr>
              <w:t>2.13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074969DB">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07D6C255">
            <w:pPr>
              <w:shd w:val="clear"/>
              <w:rPr>
                <w:rFonts w:hint="default" w:ascii="Times New Roman" w:hAnsi="Times New Roman" w:cs="Times New Roman" w:eastAsiaTheme="minorEastAsia"/>
                <w:color w:val="auto"/>
                <w:sz w:val="18"/>
                <w:szCs w:val="18"/>
                <w:highlight w:val="none"/>
              </w:rPr>
            </w:pPr>
          </w:p>
        </w:tc>
      </w:tr>
      <w:tr w14:paraId="0BB6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095" w:hRule="atLeast"/>
        </w:trPr>
        <w:tc>
          <w:tcPr>
            <w:tcW w:w="116" w:type="pct"/>
            <w:vMerge w:val="restart"/>
            <w:shd w:val="clear" w:color="auto" w:fill="auto"/>
            <w:tcMar>
              <w:top w:w="15" w:type="dxa"/>
              <w:left w:w="15" w:type="dxa"/>
              <w:right w:w="15" w:type="dxa"/>
            </w:tcMar>
            <w:vAlign w:val="center"/>
          </w:tcPr>
          <w:p w14:paraId="051CA711">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114</w:t>
            </w:r>
          </w:p>
        </w:tc>
        <w:tc>
          <w:tcPr>
            <w:tcW w:w="411" w:type="pct"/>
            <w:gridSpan w:val="2"/>
            <w:vMerge w:val="restart"/>
            <w:shd w:val="clear" w:color="auto" w:fill="auto"/>
            <w:tcMar>
              <w:top w:w="15" w:type="dxa"/>
              <w:left w:w="15" w:type="dxa"/>
              <w:right w:w="15" w:type="dxa"/>
            </w:tcMar>
            <w:vAlign w:val="center"/>
          </w:tcPr>
          <w:p w14:paraId="568F5670">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擅自在城市照明设施上张贴、悬挂、设置宣传品、广告</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1984289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《城市照明管理规定》第二十八条</w:t>
            </w:r>
            <w:r>
              <w:rPr>
                <w:rFonts w:hint="default" w:ascii="Times New Roman" w:hAnsi="Times New Roman" w:cs="Times New Roman" w:eastAsiaTheme="minorEastAsia"/>
                <w:color w:val="auto"/>
                <w:kern w:val="0"/>
                <w:sz w:val="18"/>
                <w:szCs w:val="18"/>
                <w:highlight w:val="none"/>
                <w:lang w:eastAsia="zh-CN"/>
              </w:rPr>
              <w:t>第三项</w:t>
            </w:r>
            <w:r>
              <w:rPr>
                <w:rFonts w:hint="default" w:ascii="Times New Roman" w:hAnsi="Times New Roman" w:cs="Times New Roman" w:eastAsiaTheme="minorEastAsia"/>
                <w:color w:val="auto"/>
                <w:kern w:val="0"/>
                <w:sz w:val="18"/>
                <w:szCs w:val="18"/>
                <w:highlight w:val="none"/>
              </w:rPr>
              <w:t>：“任何单位和个人都应当保护城市照明设施，不得实施下列行为：（三）擅自在城市照明设施上张贴、悬挂、设置宣传品、广告；”</w:t>
            </w:r>
          </w:p>
        </w:tc>
        <w:tc>
          <w:tcPr>
            <w:tcW w:w="1314" w:type="pct"/>
            <w:gridSpan w:val="2"/>
            <w:vMerge w:val="restart"/>
            <w:shd w:val="clear" w:color="auto" w:fill="auto"/>
            <w:tcMar>
              <w:top w:w="15" w:type="dxa"/>
              <w:left w:w="15" w:type="dxa"/>
              <w:right w:w="15" w:type="dxa"/>
            </w:tcMar>
            <w:vAlign w:val="center"/>
          </w:tcPr>
          <w:p w14:paraId="34FA293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照明管理规定》第三十二条：“违反本规定，有第二十八条规定行为之一的，由城市照明主管部门责令限期改正，对个人处以200元以上1000元以下的罚款；对单位处以1000元以上3万元以下的罚款；造成损失的，依法赔偿损失。”</w:t>
            </w:r>
          </w:p>
        </w:tc>
        <w:tc>
          <w:tcPr>
            <w:tcW w:w="177" w:type="pct"/>
            <w:gridSpan w:val="2"/>
            <w:shd w:val="clear" w:color="auto" w:fill="auto"/>
            <w:tcMar>
              <w:top w:w="15" w:type="dxa"/>
              <w:left w:w="15" w:type="dxa"/>
              <w:right w:w="15" w:type="dxa"/>
            </w:tcMar>
            <w:vAlign w:val="center"/>
          </w:tcPr>
          <w:p w14:paraId="3F9BF17F">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5D250C93">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张贴、悬挂、设置宣传品、广告</w:t>
            </w:r>
            <w:r>
              <w:rPr>
                <w:rFonts w:hint="default" w:ascii="Times New Roman" w:hAnsi="Times New Roman" w:cs="Times New Roman" w:eastAsiaTheme="minorEastAsia"/>
                <w:color w:val="auto"/>
                <w:kern w:val="0"/>
                <w:sz w:val="18"/>
                <w:szCs w:val="18"/>
                <w:highlight w:val="none"/>
                <w:lang w:val="en-US" w:eastAsia="zh-CN"/>
              </w:rPr>
              <w:t>1</w:t>
            </w: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w:t>
            </w:r>
          </w:p>
          <w:p w14:paraId="0F7E2A8A">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总面积</w:t>
            </w:r>
            <w:r>
              <w:rPr>
                <w:rFonts w:hint="default" w:ascii="Times New Roman" w:hAnsi="Times New Roman" w:cs="Times New Roman" w:eastAsiaTheme="minorEastAsia"/>
                <w:color w:val="auto"/>
                <w:kern w:val="0"/>
                <w:sz w:val="18"/>
                <w:szCs w:val="18"/>
                <w:highlight w:val="none"/>
                <w:lang w:eastAsia="zh-CN"/>
              </w:rPr>
              <w:t>在</w:t>
            </w:r>
            <w:r>
              <w:rPr>
                <w:rFonts w:hint="default" w:ascii="Times New Roman" w:hAnsi="Times New Roman" w:cs="Times New Roman" w:eastAsiaTheme="minorEastAsia"/>
                <w:color w:val="auto"/>
                <w:kern w:val="0"/>
                <w:sz w:val="18"/>
                <w:szCs w:val="18"/>
                <w:highlight w:val="none"/>
              </w:rPr>
              <w:t>1平方米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30D2BB3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对个人处以200元以上</w:t>
            </w:r>
            <w:r>
              <w:rPr>
                <w:rFonts w:hint="default" w:ascii="Times New Roman" w:hAnsi="Times New Roman" w:cs="Times New Roman" w:eastAsiaTheme="minorEastAsia"/>
                <w:color w:val="auto"/>
                <w:kern w:val="0"/>
                <w:sz w:val="18"/>
                <w:szCs w:val="18"/>
                <w:highlight w:val="none"/>
                <w:lang w:val="en-US" w:eastAsia="zh-CN"/>
              </w:rPr>
              <w:t>440</w:t>
            </w:r>
            <w:r>
              <w:rPr>
                <w:rFonts w:hint="default" w:ascii="Times New Roman" w:hAnsi="Times New Roman" w:cs="Times New Roman" w:eastAsiaTheme="minorEastAsia"/>
                <w:color w:val="auto"/>
                <w:kern w:val="0"/>
                <w:sz w:val="18"/>
                <w:szCs w:val="18"/>
                <w:highlight w:val="none"/>
              </w:rPr>
              <w:t>元以下的罚款；对单位处以1000元以上</w:t>
            </w:r>
            <w:r>
              <w:rPr>
                <w:rFonts w:hint="default" w:ascii="Times New Roman" w:hAnsi="Times New Roman" w:cs="Times New Roman" w:eastAsiaTheme="minorEastAsia"/>
                <w:color w:val="auto"/>
                <w:kern w:val="0"/>
                <w:sz w:val="18"/>
                <w:szCs w:val="18"/>
                <w:highlight w:val="none"/>
                <w:lang w:val="en-US" w:eastAsia="zh-CN"/>
              </w:rPr>
              <w:t>9700</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restart"/>
            <w:shd w:val="clear" w:color="auto" w:fill="auto"/>
            <w:tcMar>
              <w:top w:w="15" w:type="dxa"/>
              <w:left w:w="15" w:type="dxa"/>
              <w:right w:w="15" w:type="dxa"/>
            </w:tcMar>
            <w:vAlign w:val="center"/>
          </w:tcPr>
          <w:p w14:paraId="5D0B1953">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责令限期改正；造成损失的，依法赔偿损失</w:t>
            </w:r>
          </w:p>
          <w:p w14:paraId="764746A4">
            <w:pPr>
              <w:widowControl/>
              <w:shd w:val="clear"/>
              <w:jc w:val="left"/>
              <w:textAlignment w:val="center"/>
              <w:rPr>
                <w:rFonts w:hint="default" w:ascii="Times New Roman" w:hAnsi="Times New Roman" w:cs="Times New Roman" w:eastAsiaTheme="minorEastAsia"/>
                <w:color w:val="auto"/>
                <w:sz w:val="18"/>
                <w:szCs w:val="18"/>
                <w:highlight w:val="none"/>
              </w:rPr>
            </w:pPr>
          </w:p>
          <w:p w14:paraId="2878B6E7">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5C52F568">
            <w:pPr>
              <w:shd w:val="clear"/>
              <w:rPr>
                <w:rFonts w:hint="default" w:ascii="Times New Roman" w:hAnsi="Times New Roman" w:cs="Times New Roman" w:eastAsiaTheme="minorEastAsia"/>
                <w:color w:val="auto"/>
                <w:sz w:val="18"/>
                <w:szCs w:val="18"/>
                <w:highlight w:val="none"/>
                <w:lang w:val="en-US" w:eastAsia="zh-CN"/>
              </w:rPr>
            </w:pPr>
          </w:p>
        </w:tc>
      </w:tr>
      <w:tr w14:paraId="34BC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095" w:hRule="atLeast"/>
        </w:trPr>
        <w:tc>
          <w:tcPr>
            <w:tcW w:w="116" w:type="pct"/>
            <w:vMerge w:val="continue"/>
            <w:shd w:val="clear" w:color="auto" w:fill="auto"/>
            <w:tcMar>
              <w:top w:w="15" w:type="dxa"/>
              <w:left w:w="15" w:type="dxa"/>
              <w:right w:w="15" w:type="dxa"/>
            </w:tcMar>
            <w:vAlign w:val="center"/>
          </w:tcPr>
          <w:p w14:paraId="59352B0A">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7B8789E8">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5287C6D0">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4152EF40">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5813C8DD">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185EDCD3">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张贴、悬挂、设置宣传品、广告</w:t>
            </w:r>
            <w:r>
              <w:rPr>
                <w:rFonts w:hint="default" w:ascii="Times New Roman" w:hAnsi="Times New Roman" w:cs="Times New Roman" w:eastAsiaTheme="minorEastAsia"/>
                <w:color w:val="auto"/>
                <w:kern w:val="0"/>
                <w:sz w:val="18"/>
                <w:szCs w:val="18"/>
                <w:highlight w:val="none"/>
                <w:lang w:val="en-US" w:eastAsia="zh-CN"/>
              </w:rPr>
              <w:t>2</w:t>
            </w: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eastAsia="zh-CN"/>
              </w:rPr>
              <w:t>；</w:t>
            </w:r>
          </w:p>
          <w:p w14:paraId="0A56B3F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总面积</w:t>
            </w:r>
            <w:r>
              <w:rPr>
                <w:rFonts w:hint="default" w:ascii="Times New Roman" w:hAnsi="Times New Roman" w:cs="Times New Roman" w:eastAsiaTheme="minorEastAsia"/>
                <w:color w:val="auto"/>
                <w:kern w:val="0"/>
                <w:sz w:val="18"/>
                <w:szCs w:val="18"/>
                <w:highlight w:val="none"/>
                <w:lang w:eastAsia="zh-CN"/>
              </w:rPr>
              <w:t>在</w:t>
            </w:r>
            <w:r>
              <w:rPr>
                <w:rFonts w:hint="default" w:ascii="Times New Roman" w:hAnsi="Times New Roman" w:cs="Times New Roman" w:eastAsiaTheme="minorEastAsia"/>
                <w:color w:val="auto"/>
                <w:kern w:val="0"/>
                <w:sz w:val="18"/>
                <w:szCs w:val="18"/>
                <w:highlight w:val="none"/>
              </w:rPr>
              <w:t>1平方米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2平方米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4E8D7D5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对个人处以</w:t>
            </w:r>
            <w:r>
              <w:rPr>
                <w:rFonts w:hint="default" w:ascii="Times New Roman" w:hAnsi="Times New Roman" w:cs="Times New Roman" w:eastAsiaTheme="minorEastAsia"/>
                <w:color w:val="auto"/>
                <w:kern w:val="0"/>
                <w:sz w:val="18"/>
                <w:szCs w:val="18"/>
                <w:highlight w:val="none"/>
                <w:lang w:val="en-US" w:eastAsia="zh-CN"/>
              </w:rPr>
              <w:t>440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760</w:t>
            </w:r>
            <w:r>
              <w:rPr>
                <w:rFonts w:hint="default" w:ascii="Times New Roman" w:hAnsi="Times New Roman" w:cs="Times New Roman" w:eastAsiaTheme="minorEastAsia"/>
                <w:color w:val="auto"/>
                <w:kern w:val="0"/>
                <w:sz w:val="18"/>
                <w:szCs w:val="18"/>
                <w:highlight w:val="none"/>
              </w:rPr>
              <w:t>元以下的罚款；对单位处以</w:t>
            </w:r>
            <w:r>
              <w:rPr>
                <w:rFonts w:hint="default" w:ascii="Times New Roman" w:hAnsi="Times New Roman" w:cs="Times New Roman" w:eastAsiaTheme="minorEastAsia"/>
                <w:color w:val="auto"/>
                <w:kern w:val="0"/>
                <w:sz w:val="18"/>
                <w:szCs w:val="18"/>
                <w:highlight w:val="none"/>
                <w:lang w:val="en-US" w:eastAsia="zh-CN"/>
              </w:rPr>
              <w:t>9700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2.13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58E27FC5">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245C96C1">
            <w:pPr>
              <w:shd w:val="clear"/>
              <w:rPr>
                <w:rFonts w:hint="default" w:ascii="Times New Roman" w:hAnsi="Times New Roman" w:cs="Times New Roman" w:eastAsiaTheme="minorEastAsia"/>
                <w:color w:val="auto"/>
                <w:sz w:val="18"/>
                <w:szCs w:val="18"/>
                <w:highlight w:val="none"/>
              </w:rPr>
            </w:pPr>
          </w:p>
        </w:tc>
      </w:tr>
      <w:tr w14:paraId="4DB8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095" w:hRule="atLeast"/>
        </w:trPr>
        <w:tc>
          <w:tcPr>
            <w:tcW w:w="116" w:type="pct"/>
            <w:vMerge w:val="continue"/>
            <w:shd w:val="clear" w:color="auto" w:fill="auto"/>
            <w:tcMar>
              <w:top w:w="15" w:type="dxa"/>
              <w:left w:w="15" w:type="dxa"/>
              <w:right w:w="15" w:type="dxa"/>
            </w:tcMar>
            <w:vAlign w:val="center"/>
          </w:tcPr>
          <w:p w14:paraId="1CB6E92F">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34DFDABB">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9C00BA5">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05AE6E1F">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3C5338E1">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36065E75">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张贴、悬挂、设置宣传品、广告</w:t>
            </w:r>
            <w:r>
              <w:rPr>
                <w:rFonts w:hint="default" w:ascii="Times New Roman" w:hAnsi="Times New Roman" w:cs="Times New Roman" w:eastAsiaTheme="minorEastAsia"/>
                <w:color w:val="auto"/>
                <w:kern w:val="0"/>
                <w:sz w:val="18"/>
                <w:szCs w:val="18"/>
                <w:highlight w:val="none"/>
                <w:lang w:val="en-US" w:eastAsia="zh-CN"/>
              </w:rPr>
              <w:t>3</w:t>
            </w: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eastAsia="zh-CN"/>
              </w:rPr>
              <w:t>以上；</w:t>
            </w:r>
          </w:p>
          <w:p w14:paraId="68C79BC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总面积</w:t>
            </w:r>
            <w:r>
              <w:rPr>
                <w:rFonts w:hint="default" w:ascii="Times New Roman" w:hAnsi="Times New Roman" w:cs="Times New Roman" w:eastAsiaTheme="minorEastAsia"/>
                <w:color w:val="auto"/>
                <w:kern w:val="0"/>
                <w:sz w:val="18"/>
                <w:szCs w:val="18"/>
                <w:highlight w:val="none"/>
                <w:lang w:eastAsia="zh-CN"/>
              </w:rPr>
              <w:t>在</w:t>
            </w:r>
            <w:r>
              <w:rPr>
                <w:rFonts w:hint="default" w:ascii="Times New Roman" w:hAnsi="Times New Roman" w:cs="Times New Roman" w:eastAsiaTheme="minorEastAsia"/>
                <w:color w:val="auto"/>
                <w:kern w:val="0"/>
                <w:sz w:val="18"/>
                <w:szCs w:val="18"/>
                <w:highlight w:val="none"/>
              </w:rPr>
              <w:t>2平方米</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706CADF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对个人处以</w:t>
            </w:r>
            <w:r>
              <w:rPr>
                <w:rFonts w:hint="default" w:ascii="Times New Roman" w:hAnsi="Times New Roman" w:cs="Times New Roman" w:eastAsiaTheme="minorEastAsia"/>
                <w:color w:val="auto"/>
                <w:kern w:val="0"/>
                <w:sz w:val="18"/>
                <w:szCs w:val="18"/>
                <w:highlight w:val="none"/>
                <w:lang w:val="en-US" w:eastAsia="zh-CN"/>
              </w:rPr>
              <w:t>760</w:t>
            </w:r>
            <w:r>
              <w:rPr>
                <w:rFonts w:hint="default" w:ascii="Times New Roman" w:hAnsi="Times New Roman" w:cs="Times New Roman" w:eastAsiaTheme="minorEastAsia"/>
                <w:color w:val="auto"/>
                <w:kern w:val="0"/>
                <w:sz w:val="18"/>
                <w:szCs w:val="18"/>
                <w:highlight w:val="none"/>
              </w:rPr>
              <w:t>元以上1000元以下的罚款；对单位处以</w:t>
            </w:r>
            <w:r>
              <w:rPr>
                <w:rFonts w:hint="default" w:ascii="Times New Roman" w:hAnsi="Times New Roman" w:cs="Times New Roman" w:eastAsiaTheme="minorEastAsia"/>
                <w:color w:val="auto"/>
                <w:kern w:val="0"/>
                <w:sz w:val="18"/>
                <w:szCs w:val="18"/>
                <w:highlight w:val="none"/>
                <w:lang w:val="en-US" w:eastAsia="zh-CN"/>
              </w:rPr>
              <w:t>2.13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10502D81">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176FF5BA">
            <w:pPr>
              <w:shd w:val="clear"/>
              <w:rPr>
                <w:rFonts w:hint="default" w:ascii="Times New Roman" w:hAnsi="Times New Roman" w:cs="Times New Roman" w:eastAsiaTheme="minorEastAsia"/>
                <w:color w:val="auto"/>
                <w:sz w:val="18"/>
                <w:szCs w:val="18"/>
                <w:highlight w:val="none"/>
              </w:rPr>
            </w:pPr>
          </w:p>
        </w:tc>
      </w:tr>
      <w:tr w14:paraId="093A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10" w:hRule="atLeast"/>
        </w:trPr>
        <w:tc>
          <w:tcPr>
            <w:tcW w:w="116" w:type="pct"/>
            <w:vMerge w:val="restart"/>
            <w:shd w:val="clear" w:color="auto" w:fill="auto"/>
            <w:tcMar>
              <w:top w:w="15" w:type="dxa"/>
              <w:left w:w="15" w:type="dxa"/>
              <w:right w:w="15" w:type="dxa"/>
            </w:tcMar>
            <w:vAlign w:val="center"/>
          </w:tcPr>
          <w:p w14:paraId="1D07FAD2">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sz w:val="18"/>
                <w:szCs w:val="18"/>
                <w:highlight w:val="none"/>
                <w:lang w:val="en-US" w:eastAsia="zh-CN"/>
              </w:rPr>
              <w:t>115</w:t>
            </w:r>
          </w:p>
        </w:tc>
        <w:tc>
          <w:tcPr>
            <w:tcW w:w="411" w:type="pct"/>
            <w:gridSpan w:val="2"/>
            <w:vMerge w:val="restart"/>
            <w:shd w:val="clear" w:color="auto" w:fill="auto"/>
            <w:tcMar>
              <w:top w:w="15" w:type="dxa"/>
              <w:left w:w="15" w:type="dxa"/>
              <w:right w:w="15" w:type="dxa"/>
            </w:tcMar>
            <w:vAlign w:val="center"/>
          </w:tcPr>
          <w:p w14:paraId="422B1085">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擅自在城市照明设施上架设线缆、安置其它设施或者接用电源</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74E0358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《城市照明管理规定》第二十八条</w:t>
            </w:r>
            <w:r>
              <w:rPr>
                <w:rFonts w:hint="default" w:ascii="Times New Roman" w:hAnsi="Times New Roman" w:cs="Times New Roman" w:eastAsiaTheme="minorEastAsia"/>
                <w:color w:val="auto"/>
                <w:kern w:val="0"/>
                <w:sz w:val="18"/>
                <w:szCs w:val="18"/>
                <w:highlight w:val="none"/>
                <w:lang w:eastAsia="zh-CN"/>
              </w:rPr>
              <w:t>第四项</w:t>
            </w:r>
            <w:r>
              <w:rPr>
                <w:rFonts w:hint="default" w:ascii="Times New Roman" w:hAnsi="Times New Roman" w:cs="Times New Roman" w:eastAsiaTheme="minorEastAsia"/>
                <w:color w:val="auto"/>
                <w:kern w:val="0"/>
                <w:sz w:val="18"/>
                <w:szCs w:val="18"/>
                <w:highlight w:val="none"/>
              </w:rPr>
              <w:t>：“任何单位和个人都应当保护城市照明设施，不得实施下列行为：（四）擅自在城市照明设施上架设线缆、安置其它设施或者接用电源；”</w:t>
            </w:r>
          </w:p>
        </w:tc>
        <w:tc>
          <w:tcPr>
            <w:tcW w:w="1314" w:type="pct"/>
            <w:gridSpan w:val="2"/>
            <w:vMerge w:val="restart"/>
            <w:shd w:val="clear" w:color="auto" w:fill="auto"/>
            <w:tcMar>
              <w:top w:w="15" w:type="dxa"/>
              <w:left w:w="15" w:type="dxa"/>
              <w:right w:w="15" w:type="dxa"/>
            </w:tcMar>
            <w:vAlign w:val="center"/>
          </w:tcPr>
          <w:p w14:paraId="30821C2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照明管理规定》第三十二条：“违反本规定，有第二十八条规定行为之一的，由城市照明主管部门责令限期改正，对个人处以200元以上1000元以下的罚款；对单位处以1000元以上3万元以下的罚款；造成损失的，依法赔偿损失。”</w:t>
            </w:r>
          </w:p>
        </w:tc>
        <w:tc>
          <w:tcPr>
            <w:tcW w:w="177" w:type="pct"/>
            <w:gridSpan w:val="2"/>
            <w:shd w:val="clear" w:color="auto" w:fill="auto"/>
            <w:tcMar>
              <w:top w:w="15" w:type="dxa"/>
              <w:left w:w="15" w:type="dxa"/>
              <w:right w:w="15" w:type="dxa"/>
            </w:tcMar>
            <w:vAlign w:val="center"/>
          </w:tcPr>
          <w:p w14:paraId="3DDE1B37">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51B11A92">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架设线缆30米</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lang w:val="en-US" w:eastAsia="zh-CN"/>
              </w:rPr>
              <w:t>;</w:t>
            </w:r>
          </w:p>
          <w:p w14:paraId="0BF8873D">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安置设施3处</w:t>
            </w:r>
            <w:r>
              <w:rPr>
                <w:rFonts w:hint="default" w:ascii="Times New Roman" w:hAnsi="Times New Roman" w:cs="Times New Roman" w:eastAsiaTheme="minorEastAsia"/>
                <w:color w:val="auto"/>
                <w:kern w:val="0"/>
                <w:sz w:val="18"/>
                <w:szCs w:val="18"/>
                <w:highlight w:val="none"/>
                <w:lang w:eastAsia="zh-CN"/>
              </w:rPr>
              <w:t>以下；</w:t>
            </w:r>
          </w:p>
          <w:p w14:paraId="1770B3F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接用电源3处</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5B9496E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对个人处以200元以上</w:t>
            </w:r>
            <w:r>
              <w:rPr>
                <w:rFonts w:hint="default" w:ascii="Times New Roman" w:hAnsi="Times New Roman" w:cs="Times New Roman" w:eastAsiaTheme="minorEastAsia"/>
                <w:color w:val="auto"/>
                <w:kern w:val="0"/>
                <w:sz w:val="18"/>
                <w:szCs w:val="18"/>
                <w:highlight w:val="none"/>
                <w:lang w:val="en-US" w:eastAsia="zh-CN"/>
              </w:rPr>
              <w:t>440</w:t>
            </w:r>
            <w:r>
              <w:rPr>
                <w:rFonts w:hint="default" w:ascii="Times New Roman" w:hAnsi="Times New Roman" w:cs="Times New Roman" w:eastAsiaTheme="minorEastAsia"/>
                <w:color w:val="auto"/>
                <w:kern w:val="0"/>
                <w:sz w:val="18"/>
                <w:szCs w:val="18"/>
                <w:highlight w:val="none"/>
              </w:rPr>
              <w:t>元以下的罚款；对单位处以1000元以上</w:t>
            </w:r>
            <w:r>
              <w:rPr>
                <w:rFonts w:hint="default" w:ascii="Times New Roman" w:hAnsi="Times New Roman" w:cs="Times New Roman" w:eastAsiaTheme="minorEastAsia"/>
                <w:color w:val="auto"/>
                <w:kern w:val="0"/>
                <w:sz w:val="18"/>
                <w:szCs w:val="18"/>
                <w:highlight w:val="none"/>
                <w:lang w:val="en-US" w:eastAsia="zh-CN"/>
              </w:rPr>
              <w:t>9700</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restart"/>
            <w:shd w:val="clear" w:color="auto" w:fill="auto"/>
            <w:tcMar>
              <w:top w:w="15" w:type="dxa"/>
              <w:left w:w="15" w:type="dxa"/>
              <w:right w:w="15" w:type="dxa"/>
            </w:tcMar>
            <w:vAlign w:val="center"/>
          </w:tcPr>
          <w:p w14:paraId="251E35CB">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责令限期改正；造成损失的，依法赔偿损失</w:t>
            </w:r>
          </w:p>
          <w:p w14:paraId="65F4C0A9">
            <w:pPr>
              <w:widowControl/>
              <w:shd w:val="clear"/>
              <w:jc w:val="left"/>
              <w:textAlignment w:val="center"/>
              <w:rPr>
                <w:rFonts w:hint="default" w:ascii="Times New Roman" w:hAnsi="Times New Roman" w:cs="Times New Roman" w:eastAsiaTheme="minorEastAsia"/>
                <w:color w:val="auto"/>
                <w:sz w:val="18"/>
                <w:szCs w:val="18"/>
                <w:highlight w:val="none"/>
              </w:rPr>
            </w:pPr>
          </w:p>
          <w:p w14:paraId="4FEBCBD4">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6C680328">
            <w:pPr>
              <w:shd w:val="clear"/>
              <w:jc w:val="left"/>
              <w:rPr>
                <w:rFonts w:hint="default" w:ascii="Times New Roman" w:hAnsi="Times New Roman" w:cs="Times New Roman" w:eastAsiaTheme="minorEastAsia"/>
                <w:color w:val="auto"/>
                <w:sz w:val="18"/>
                <w:szCs w:val="18"/>
                <w:highlight w:val="none"/>
                <w:lang w:val="en-US" w:eastAsia="zh-CN"/>
              </w:rPr>
            </w:pPr>
          </w:p>
        </w:tc>
      </w:tr>
      <w:tr w14:paraId="04D3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10" w:hRule="atLeast"/>
        </w:trPr>
        <w:tc>
          <w:tcPr>
            <w:tcW w:w="116" w:type="pct"/>
            <w:vMerge w:val="continue"/>
            <w:shd w:val="clear" w:color="auto" w:fill="auto"/>
            <w:tcMar>
              <w:top w:w="15" w:type="dxa"/>
              <w:left w:w="15" w:type="dxa"/>
              <w:right w:w="15" w:type="dxa"/>
            </w:tcMar>
            <w:vAlign w:val="center"/>
          </w:tcPr>
          <w:p w14:paraId="0BB1AE6C">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0FF623AC">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4746A5D1">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33A302C5">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0B22E749">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1521B907">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架设线缆30米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50米</w:t>
            </w:r>
            <w:r>
              <w:rPr>
                <w:rFonts w:hint="default" w:ascii="Times New Roman" w:hAnsi="Times New Roman" w:cs="Times New Roman" w:eastAsiaTheme="minorEastAsia"/>
                <w:color w:val="auto"/>
                <w:kern w:val="0"/>
                <w:sz w:val="18"/>
                <w:szCs w:val="18"/>
                <w:highlight w:val="none"/>
                <w:lang w:eastAsia="zh-CN"/>
              </w:rPr>
              <w:t>以下；</w:t>
            </w:r>
          </w:p>
          <w:p w14:paraId="4D0DBE3D">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安置设施3处</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5处</w:t>
            </w:r>
            <w:r>
              <w:rPr>
                <w:rFonts w:hint="default" w:ascii="Times New Roman" w:hAnsi="Times New Roman" w:cs="Times New Roman" w:eastAsiaTheme="minorEastAsia"/>
                <w:color w:val="auto"/>
                <w:kern w:val="0"/>
                <w:sz w:val="18"/>
                <w:szCs w:val="18"/>
                <w:highlight w:val="none"/>
                <w:lang w:eastAsia="zh-CN"/>
              </w:rPr>
              <w:t>以下；</w:t>
            </w:r>
          </w:p>
          <w:p w14:paraId="2F3AE2B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接用电源3处</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5处</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7933C70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对个人处以</w:t>
            </w:r>
            <w:r>
              <w:rPr>
                <w:rFonts w:hint="default" w:ascii="Times New Roman" w:hAnsi="Times New Roman" w:cs="Times New Roman" w:eastAsiaTheme="minorEastAsia"/>
                <w:color w:val="auto"/>
                <w:kern w:val="0"/>
                <w:sz w:val="18"/>
                <w:szCs w:val="18"/>
                <w:highlight w:val="none"/>
                <w:lang w:val="en-US" w:eastAsia="zh-CN"/>
              </w:rPr>
              <w:t>440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760</w:t>
            </w:r>
            <w:r>
              <w:rPr>
                <w:rFonts w:hint="default" w:ascii="Times New Roman" w:hAnsi="Times New Roman" w:cs="Times New Roman" w:eastAsiaTheme="minorEastAsia"/>
                <w:color w:val="auto"/>
                <w:kern w:val="0"/>
                <w:sz w:val="18"/>
                <w:szCs w:val="18"/>
                <w:highlight w:val="none"/>
              </w:rPr>
              <w:t>元以下的罚款；对单位处以</w:t>
            </w:r>
            <w:r>
              <w:rPr>
                <w:rFonts w:hint="default" w:ascii="Times New Roman" w:hAnsi="Times New Roman" w:cs="Times New Roman" w:eastAsiaTheme="minorEastAsia"/>
                <w:color w:val="auto"/>
                <w:kern w:val="0"/>
                <w:sz w:val="18"/>
                <w:szCs w:val="18"/>
                <w:highlight w:val="none"/>
                <w:lang w:val="en-US" w:eastAsia="zh-CN"/>
              </w:rPr>
              <w:t>9700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2.13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3D9EA626">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263C00A9">
            <w:pPr>
              <w:shd w:val="clear"/>
              <w:jc w:val="left"/>
              <w:rPr>
                <w:rFonts w:hint="default" w:ascii="Times New Roman" w:hAnsi="Times New Roman" w:cs="Times New Roman" w:eastAsiaTheme="minorEastAsia"/>
                <w:color w:val="auto"/>
                <w:sz w:val="18"/>
                <w:szCs w:val="18"/>
                <w:highlight w:val="none"/>
              </w:rPr>
            </w:pPr>
          </w:p>
        </w:tc>
      </w:tr>
      <w:tr w14:paraId="2447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10" w:hRule="atLeast"/>
        </w:trPr>
        <w:tc>
          <w:tcPr>
            <w:tcW w:w="116" w:type="pct"/>
            <w:vMerge w:val="continue"/>
            <w:shd w:val="clear" w:color="auto" w:fill="auto"/>
            <w:tcMar>
              <w:top w:w="15" w:type="dxa"/>
              <w:left w:w="15" w:type="dxa"/>
              <w:right w:w="15" w:type="dxa"/>
            </w:tcMar>
            <w:vAlign w:val="center"/>
          </w:tcPr>
          <w:p w14:paraId="5135DD72">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53F19592">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F10E8AA">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6F679627">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2CF14E47">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446CE7A2">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架设线缆50米</w:t>
            </w:r>
            <w:r>
              <w:rPr>
                <w:rFonts w:hint="default" w:ascii="Times New Roman" w:hAnsi="Times New Roman" w:cs="Times New Roman" w:eastAsiaTheme="minorEastAsia"/>
                <w:color w:val="auto"/>
                <w:kern w:val="0"/>
                <w:sz w:val="18"/>
                <w:szCs w:val="18"/>
                <w:highlight w:val="none"/>
                <w:lang w:eastAsia="zh-CN"/>
              </w:rPr>
              <w:t>以上；</w:t>
            </w:r>
          </w:p>
          <w:p w14:paraId="706D943B">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安置设施5处</w:t>
            </w:r>
            <w:r>
              <w:rPr>
                <w:rFonts w:hint="default" w:ascii="Times New Roman" w:hAnsi="Times New Roman" w:cs="Times New Roman" w:eastAsiaTheme="minorEastAsia"/>
                <w:color w:val="auto"/>
                <w:kern w:val="0"/>
                <w:sz w:val="18"/>
                <w:szCs w:val="18"/>
                <w:highlight w:val="none"/>
                <w:lang w:eastAsia="zh-CN"/>
              </w:rPr>
              <w:t>以上；</w:t>
            </w:r>
          </w:p>
          <w:p w14:paraId="56D7E81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接用电源5处</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61E92F37">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对个人处以</w:t>
            </w:r>
            <w:r>
              <w:rPr>
                <w:rFonts w:hint="default" w:ascii="Times New Roman" w:hAnsi="Times New Roman" w:cs="Times New Roman" w:eastAsiaTheme="minorEastAsia"/>
                <w:color w:val="auto"/>
                <w:kern w:val="0"/>
                <w:sz w:val="18"/>
                <w:szCs w:val="18"/>
                <w:highlight w:val="none"/>
                <w:lang w:val="en-US" w:eastAsia="zh-CN"/>
              </w:rPr>
              <w:t>760</w:t>
            </w:r>
            <w:r>
              <w:rPr>
                <w:rFonts w:hint="default" w:ascii="Times New Roman" w:hAnsi="Times New Roman" w:cs="Times New Roman" w:eastAsiaTheme="minorEastAsia"/>
                <w:color w:val="auto"/>
                <w:kern w:val="0"/>
                <w:sz w:val="18"/>
                <w:szCs w:val="18"/>
                <w:highlight w:val="none"/>
              </w:rPr>
              <w:t>元以上1000元以下的罚款；对单位处以</w:t>
            </w:r>
            <w:r>
              <w:rPr>
                <w:rFonts w:hint="default" w:ascii="Times New Roman" w:hAnsi="Times New Roman" w:cs="Times New Roman" w:eastAsiaTheme="minorEastAsia"/>
                <w:color w:val="auto"/>
                <w:kern w:val="0"/>
                <w:sz w:val="18"/>
                <w:szCs w:val="18"/>
                <w:highlight w:val="none"/>
                <w:lang w:val="en-US" w:eastAsia="zh-CN"/>
              </w:rPr>
              <w:t>2.13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7E142174">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3553CCBC">
            <w:pPr>
              <w:shd w:val="clear"/>
              <w:jc w:val="left"/>
              <w:rPr>
                <w:rFonts w:hint="default" w:ascii="Times New Roman" w:hAnsi="Times New Roman" w:cs="Times New Roman" w:eastAsiaTheme="minorEastAsia"/>
                <w:color w:val="auto"/>
                <w:sz w:val="18"/>
                <w:szCs w:val="18"/>
                <w:highlight w:val="none"/>
              </w:rPr>
            </w:pPr>
          </w:p>
        </w:tc>
      </w:tr>
      <w:tr w14:paraId="5D63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065" w:hRule="atLeast"/>
        </w:trPr>
        <w:tc>
          <w:tcPr>
            <w:tcW w:w="116" w:type="pct"/>
            <w:vMerge w:val="restart"/>
            <w:shd w:val="clear" w:color="auto" w:fill="auto"/>
            <w:tcMar>
              <w:top w:w="15" w:type="dxa"/>
              <w:left w:w="15" w:type="dxa"/>
              <w:right w:w="15" w:type="dxa"/>
            </w:tcMar>
            <w:vAlign w:val="center"/>
          </w:tcPr>
          <w:p w14:paraId="2915DB41">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116</w:t>
            </w:r>
          </w:p>
        </w:tc>
        <w:tc>
          <w:tcPr>
            <w:tcW w:w="411" w:type="pct"/>
            <w:gridSpan w:val="2"/>
            <w:vMerge w:val="restart"/>
            <w:shd w:val="clear" w:color="auto" w:fill="auto"/>
            <w:tcMar>
              <w:top w:w="15" w:type="dxa"/>
              <w:left w:w="15" w:type="dxa"/>
              <w:right w:w="15" w:type="dxa"/>
            </w:tcMar>
            <w:vAlign w:val="center"/>
          </w:tcPr>
          <w:p w14:paraId="78CD76A1">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擅自迁移、拆除、利用城市照明设施</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6E4AC5F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《城市照明管理规定》第二十八条</w:t>
            </w:r>
            <w:r>
              <w:rPr>
                <w:rFonts w:hint="default" w:ascii="Times New Roman" w:hAnsi="Times New Roman" w:cs="Times New Roman" w:eastAsiaTheme="minorEastAsia"/>
                <w:color w:val="auto"/>
                <w:kern w:val="0"/>
                <w:sz w:val="18"/>
                <w:szCs w:val="18"/>
                <w:highlight w:val="none"/>
                <w:lang w:eastAsia="zh-CN"/>
              </w:rPr>
              <w:t>第五项</w:t>
            </w:r>
            <w:r>
              <w:rPr>
                <w:rFonts w:hint="default" w:ascii="Times New Roman" w:hAnsi="Times New Roman" w:cs="Times New Roman" w:eastAsiaTheme="minorEastAsia"/>
                <w:color w:val="auto"/>
                <w:kern w:val="0"/>
                <w:sz w:val="18"/>
                <w:szCs w:val="18"/>
                <w:highlight w:val="none"/>
              </w:rPr>
              <w:t>：“任何单位和个人都应当保护城市照明设施，不得实施下列行为:（五）擅自迁移、拆除、利用城市照明设施；”</w:t>
            </w:r>
          </w:p>
        </w:tc>
        <w:tc>
          <w:tcPr>
            <w:tcW w:w="1314" w:type="pct"/>
            <w:gridSpan w:val="2"/>
            <w:vMerge w:val="restart"/>
            <w:shd w:val="clear" w:color="auto" w:fill="auto"/>
            <w:tcMar>
              <w:top w:w="15" w:type="dxa"/>
              <w:left w:w="15" w:type="dxa"/>
              <w:right w:w="15" w:type="dxa"/>
            </w:tcMar>
            <w:vAlign w:val="center"/>
          </w:tcPr>
          <w:p w14:paraId="02BE4CD7">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照明管理规定》第三十二条：“违反本规定，有第二十八条规定行为之一的，由城市照明主管部门责令限期改正，对个人处以200元以上1000元以下的罚款；对单位处以1000元以上3万元以下的罚款；造成损失的，依法赔偿损失。”</w:t>
            </w:r>
          </w:p>
        </w:tc>
        <w:tc>
          <w:tcPr>
            <w:tcW w:w="177" w:type="pct"/>
            <w:gridSpan w:val="2"/>
            <w:shd w:val="clear" w:color="auto" w:fill="auto"/>
            <w:tcMar>
              <w:top w:w="15" w:type="dxa"/>
              <w:left w:w="15" w:type="dxa"/>
              <w:right w:w="15" w:type="dxa"/>
            </w:tcMar>
            <w:vAlign w:val="center"/>
          </w:tcPr>
          <w:p w14:paraId="64869AB9">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0D6D37A6">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擅自迁移、拆除、利用城市照明设施1处（次）</w:t>
            </w:r>
          </w:p>
        </w:tc>
        <w:tc>
          <w:tcPr>
            <w:tcW w:w="545" w:type="pct"/>
            <w:gridSpan w:val="2"/>
            <w:shd w:val="clear" w:color="auto" w:fill="auto"/>
            <w:tcMar>
              <w:top w:w="15" w:type="dxa"/>
              <w:left w:w="15" w:type="dxa"/>
              <w:right w:w="15" w:type="dxa"/>
            </w:tcMar>
            <w:vAlign w:val="center"/>
          </w:tcPr>
          <w:p w14:paraId="2E78C2F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对个人处以200元以上</w:t>
            </w:r>
            <w:r>
              <w:rPr>
                <w:rFonts w:hint="default" w:ascii="Times New Roman" w:hAnsi="Times New Roman" w:cs="Times New Roman" w:eastAsiaTheme="minorEastAsia"/>
                <w:color w:val="auto"/>
                <w:kern w:val="0"/>
                <w:sz w:val="18"/>
                <w:szCs w:val="18"/>
                <w:highlight w:val="none"/>
                <w:lang w:val="en-US" w:eastAsia="zh-CN"/>
              </w:rPr>
              <w:t>440</w:t>
            </w:r>
            <w:r>
              <w:rPr>
                <w:rFonts w:hint="default" w:ascii="Times New Roman" w:hAnsi="Times New Roman" w:cs="Times New Roman" w:eastAsiaTheme="minorEastAsia"/>
                <w:color w:val="auto"/>
                <w:kern w:val="0"/>
                <w:sz w:val="18"/>
                <w:szCs w:val="18"/>
                <w:highlight w:val="none"/>
              </w:rPr>
              <w:t>元以下的罚款；对单位处以1000元以上</w:t>
            </w:r>
            <w:r>
              <w:rPr>
                <w:rFonts w:hint="default" w:ascii="Times New Roman" w:hAnsi="Times New Roman" w:cs="Times New Roman" w:eastAsiaTheme="minorEastAsia"/>
                <w:color w:val="auto"/>
                <w:kern w:val="0"/>
                <w:sz w:val="18"/>
                <w:szCs w:val="18"/>
                <w:highlight w:val="none"/>
                <w:lang w:val="en-US" w:eastAsia="zh-CN"/>
              </w:rPr>
              <w:t>9700</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restart"/>
            <w:shd w:val="clear" w:color="auto" w:fill="auto"/>
            <w:tcMar>
              <w:top w:w="15" w:type="dxa"/>
              <w:left w:w="15" w:type="dxa"/>
              <w:right w:w="15" w:type="dxa"/>
            </w:tcMar>
            <w:vAlign w:val="center"/>
          </w:tcPr>
          <w:p w14:paraId="5F16F483">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责令限期改正；造成损失的，依法赔偿损失</w:t>
            </w:r>
          </w:p>
          <w:p w14:paraId="7F6184D3">
            <w:pPr>
              <w:widowControl/>
              <w:shd w:val="clear"/>
              <w:jc w:val="left"/>
              <w:textAlignment w:val="center"/>
              <w:rPr>
                <w:rFonts w:hint="default" w:ascii="Times New Roman" w:hAnsi="Times New Roman" w:cs="Times New Roman" w:eastAsiaTheme="minorEastAsia"/>
                <w:color w:val="auto"/>
                <w:sz w:val="18"/>
                <w:szCs w:val="18"/>
                <w:highlight w:val="none"/>
              </w:rPr>
            </w:pPr>
          </w:p>
          <w:p w14:paraId="7599243E">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6CD865B4">
            <w:pPr>
              <w:shd w:val="clear"/>
              <w:jc w:val="left"/>
              <w:rPr>
                <w:rFonts w:hint="default" w:ascii="Times New Roman" w:hAnsi="Times New Roman" w:cs="Times New Roman" w:eastAsiaTheme="minorEastAsia"/>
                <w:color w:val="auto"/>
                <w:sz w:val="18"/>
                <w:szCs w:val="18"/>
                <w:highlight w:val="none"/>
                <w:lang w:val="en-US" w:eastAsia="zh-CN"/>
              </w:rPr>
            </w:pPr>
          </w:p>
        </w:tc>
      </w:tr>
      <w:tr w14:paraId="47F7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065" w:hRule="atLeast"/>
        </w:trPr>
        <w:tc>
          <w:tcPr>
            <w:tcW w:w="116" w:type="pct"/>
            <w:vMerge w:val="continue"/>
            <w:shd w:val="clear" w:color="auto" w:fill="auto"/>
            <w:tcMar>
              <w:top w:w="15" w:type="dxa"/>
              <w:left w:w="15" w:type="dxa"/>
              <w:right w:w="15" w:type="dxa"/>
            </w:tcMar>
            <w:vAlign w:val="center"/>
          </w:tcPr>
          <w:p w14:paraId="5E9C0282">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1142F2A7">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699E68E1">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2029E0A9">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6855968D">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1F4FC15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擅自迁移、拆除、利用城市照明设施2处（次）</w:t>
            </w:r>
          </w:p>
        </w:tc>
        <w:tc>
          <w:tcPr>
            <w:tcW w:w="545" w:type="pct"/>
            <w:gridSpan w:val="2"/>
            <w:shd w:val="clear" w:color="auto" w:fill="auto"/>
            <w:tcMar>
              <w:top w:w="15" w:type="dxa"/>
              <w:left w:w="15" w:type="dxa"/>
              <w:right w:w="15" w:type="dxa"/>
            </w:tcMar>
            <w:vAlign w:val="center"/>
          </w:tcPr>
          <w:p w14:paraId="240D00C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对个人处以</w:t>
            </w:r>
            <w:r>
              <w:rPr>
                <w:rFonts w:hint="default" w:ascii="Times New Roman" w:hAnsi="Times New Roman" w:cs="Times New Roman" w:eastAsiaTheme="minorEastAsia"/>
                <w:color w:val="auto"/>
                <w:kern w:val="0"/>
                <w:sz w:val="18"/>
                <w:szCs w:val="18"/>
                <w:highlight w:val="none"/>
                <w:lang w:val="en-US" w:eastAsia="zh-CN"/>
              </w:rPr>
              <w:t>440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760</w:t>
            </w:r>
            <w:r>
              <w:rPr>
                <w:rFonts w:hint="default" w:ascii="Times New Roman" w:hAnsi="Times New Roman" w:cs="Times New Roman" w:eastAsiaTheme="minorEastAsia"/>
                <w:color w:val="auto"/>
                <w:kern w:val="0"/>
                <w:sz w:val="18"/>
                <w:szCs w:val="18"/>
                <w:highlight w:val="none"/>
              </w:rPr>
              <w:t>元以下的罚款；对单位处以</w:t>
            </w:r>
            <w:r>
              <w:rPr>
                <w:rFonts w:hint="default" w:ascii="Times New Roman" w:hAnsi="Times New Roman" w:cs="Times New Roman" w:eastAsiaTheme="minorEastAsia"/>
                <w:color w:val="auto"/>
                <w:kern w:val="0"/>
                <w:sz w:val="18"/>
                <w:szCs w:val="18"/>
                <w:highlight w:val="none"/>
                <w:lang w:val="en-US" w:eastAsia="zh-CN"/>
              </w:rPr>
              <w:t>9700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2.13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0D336A77">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0F6FC32F">
            <w:pPr>
              <w:shd w:val="clear"/>
              <w:jc w:val="left"/>
              <w:rPr>
                <w:rFonts w:hint="default" w:ascii="Times New Roman" w:hAnsi="Times New Roman" w:cs="Times New Roman" w:eastAsiaTheme="minorEastAsia"/>
                <w:color w:val="auto"/>
                <w:sz w:val="18"/>
                <w:szCs w:val="18"/>
                <w:highlight w:val="none"/>
              </w:rPr>
            </w:pPr>
          </w:p>
        </w:tc>
      </w:tr>
      <w:tr w14:paraId="6D00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065" w:hRule="atLeast"/>
        </w:trPr>
        <w:tc>
          <w:tcPr>
            <w:tcW w:w="116" w:type="pct"/>
            <w:vMerge w:val="continue"/>
            <w:shd w:val="clear" w:color="auto" w:fill="auto"/>
            <w:tcMar>
              <w:top w:w="15" w:type="dxa"/>
              <w:left w:w="15" w:type="dxa"/>
              <w:right w:w="15" w:type="dxa"/>
            </w:tcMar>
            <w:vAlign w:val="center"/>
          </w:tcPr>
          <w:p w14:paraId="34A27991">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090FE829">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24627DE8">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622A8499">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6F5DCEED">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5A32B15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擅自迁移、拆除、利用城市照明设施3处（次）</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1ED42F5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对个人处以</w:t>
            </w:r>
            <w:r>
              <w:rPr>
                <w:rFonts w:hint="default" w:ascii="Times New Roman" w:hAnsi="Times New Roman" w:cs="Times New Roman" w:eastAsiaTheme="minorEastAsia"/>
                <w:color w:val="auto"/>
                <w:kern w:val="0"/>
                <w:sz w:val="18"/>
                <w:szCs w:val="18"/>
                <w:highlight w:val="none"/>
                <w:lang w:val="en-US" w:eastAsia="zh-CN"/>
              </w:rPr>
              <w:t>760</w:t>
            </w:r>
            <w:r>
              <w:rPr>
                <w:rFonts w:hint="default" w:ascii="Times New Roman" w:hAnsi="Times New Roman" w:cs="Times New Roman" w:eastAsiaTheme="minorEastAsia"/>
                <w:color w:val="auto"/>
                <w:kern w:val="0"/>
                <w:sz w:val="18"/>
                <w:szCs w:val="18"/>
                <w:highlight w:val="none"/>
              </w:rPr>
              <w:t>元以上1000元以下的罚款；对单位处以</w:t>
            </w:r>
            <w:r>
              <w:rPr>
                <w:rFonts w:hint="default" w:ascii="Times New Roman" w:hAnsi="Times New Roman" w:cs="Times New Roman" w:eastAsiaTheme="minorEastAsia"/>
                <w:color w:val="auto"/>
                <w:kern w:val="0"/>
                <w:sz w:val="18"/>
                <w:szCs w:val="18"/>
                <w:highlight w:val="none"/>
                <w:lang w:val="en-US" w:eastAsia="zh-CN"/>
              </w:rPr>
              <w:t>2.13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7DB8C83A">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7597CC5B">
            <w:pPr>
              <w:shd w:val="clear"/>
              <w:jc w:val="left"/>
              <w:rPr>
                <w:rFonts w:hint="default" w:ascii="Times New Roman" w:hAnsi="Times New Roman" w:cs="Times New Roman" w:eastAsiaTheme="minorEastAsia"/>
                <w:color w:val="auto"/>
                <w:sz w:val="18"/>
                <w:szCs w:val="18"/>
                <w:highlight w:val="none"/>
              </w:rPr>
            </w:pPr>
          </w:p>
        </w:tc>
      </w:tr>
      <w:tr w14:paraId="233B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25" w:hRule="atLeast"/>
        </w:trPr>
        <w:tc>
          <w:tcPr>
            <w:tcW w:w="116" w:type="pct"/>
            <w:vMerge w:val="restart"/>
            <w:shd w:val="clear" w:color="auto" w:fill="auto"/>
            <w:tcMar>
              <w:top w:w="15" w:type="dxa"/>
              <w:left w:w="15" w:type="dxa"/>
              <w:right w:w="15" w:type="dxa"/>
            </w:tcMar>
            <w:vAlign w:val="center"/>
          </w:tcPr>
          <w:p w14:paraId="07D3EC14">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117</w:t>
            </w:r>
          </w:p>
        </w:tc>
        <w:tc>
          <w:tcPr>
            <w:tcW w:w="411" w:type="pct"/>
            <w:gridSpan w:val="2"/>
            <w:vMerge w:val="restart"/>
            <w:shd w:val="clear" w:color="auto" w:fill="auto"/>
            <w:tcMar>
              <w:top w:w="15" w:type="dxa"/>
              <w:left w:w="15" w:type="dxa"/>
              <w:right w:w="15" w:type="dxa"/>
            </w:tcMar>
            <w:vAlign w:val="center"/>
          </w:tcPr>
          <w:p w14:paraId="3B1056D7">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实施其他可能影响城市照明设施正常运行的行为</w:t>
            </w:r>
          </w:p>
        </w:tc>
        <w:tc>
          <w:tcPr>
            <w:tcW w:w="1310" w:type="pct"/>
            <w:gridSpan w:val="2"/>
            <w:vMerge w:val="restart"/>
            <w:shd w:val="clear" w:color="auto" w:fill="auto"/>
            <w:tcMar>
              <w:top w:w="15" w:type="dxa"/>
              <w:left w:w="15" w:type="dxa"/>
              <w:right w:w="15" w:type="dxa"/>
            </w:tcMar>
            <w:vAlign w:val="center"/>
          </w:tcPr>
          <w:p w14:paraId="2D8922D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《城市照明管理规定》第二十八条</w:t>
            </w:r>
            <w:r>
              <w:rPr>
                <w:rFonts w:hint="default" w:ascii="Times New Roman" w:hAnsi="Times New Roman" w:cs="Times New Roman" w:eastAsiaTheme="minorEastAsia"/>
                <w:color w:val="auto"/>
                <w:kern w:val="0"/>
                <w:sz w:val="18"/>
                <w:szCs w:val="18"/>
                <w:highlight w:val="none"/>
                <w:lang w:eastAsia="zh-CN"/>
              </w:rPr>
              <w:t>第六项</w:t>
            </w:r>
            <w:r>
              <w:rPr>
                <w:rFonts w:hint="default" w:ascii="Times New Roman" w:hAnsi="Times New Roman" w:cs="Times New Roman" w:eastAsiaTheme="minorEastAsia"/>
                <w:color w:val="auto"/>
                <w:kern w:val="0"/>
                <w:sz w:val="18"/>
                <w:szCs w:val="18"/>
                <w:highlight w:val="none"/>
              </w:rPr>
              <w:t>：“任何单位和个人都应当保护城市照明设施，不得实施下列行为：（六）其他可能影响城市照明设施正常运行的行为。”</w:t>
            </w:r>
          </w:p>
        </w:tc>
        <w:tc>
          <w:tcPr>
            <w:tcW w:w="1314" w:type="pct"/>
            <w:gridSpan w:val="2"/>
            <w:vMerge w:val="restart"/>
            <w:shd w:val="clear" w:color="auto" w:fill="auto"/>
            <w:tcMar>
              <w:top w:w="15" w:type="dxa"/>
              <w:left w:w="15" w:type="dxa"/>
              <w:right w:w="15" w:type="dxa"/>
            </w:tcMar>
            <w:vAlign w:val="center"/>
          </w:tcPr>
          <w:p w14:paraId="00A4DC1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市照明管理规定》第三十二条：“违反本规定，有第二十八条规定行为之一的，由城市照明主管部门责令限期改正，对个人处以200元以上1000元以下的罚款；对单位处以1000元以上3万元以下的罚款；造成损失的，依法赔偿损失。”</w:t>
            </w:r>
          </w:p>
        </w:tc>
        <w:tc>
          <w:tcPr>
            <w:tcW w:w="177" w:type="pct"/>
            <w:gridSpan w:val="2"/>
            <w:shd w:val="clear" w:color="auto" w:fill="auto"/>
            <w:tcMar>
              <w:top w:w="15" w:type="dxa"/>
              <w:left w:w="15" w:type="dxa"/>
              <w:right w:w="15" w:type="dxa"/>
            </w:tcMar>
            <w:vAlign w:val="center"/>
          </w:tcPr>
          <w:p w14:paraId="5F0F7C8C">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7E40214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对城市照明造成轻微影响</w:t>
            </w:r>
          </w:p>
        </w:tc>
        <w:tc>
          <w:tcPr>
            <w:tcW w:w="545" w:type="pct"/>
            <w:gridSpan w:val="2"/>
            <w:shd w:val="clear" w:color="auto" w:fill="auto"/>
            <w:tcMar>
              <w:top w:w="15" w:type="dxa"/>
              <w:left w:w="15" w:type="dxa"/>
              <w:right w:w="15" w:type="dxa"/>
            </w:tcMar>
            <w:vAlign w:val="center"/>
          </w:tcPr>
          <w:p w14:paraId="7A86CBC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对个人处以200元以上</w:t>
            </w:r>
            <w:r>
              <w:rPr>
                <w:rFonts w:hint="default" w:ascii="Times New Roman" w:hAnsi="Times New Roman" w:cs="Times New Roman" w:eastAsiaTheme="minorEastAsia"/>
                <w:color w:val="auto"/>
                <w:kern w:val="0"/>
                <w:sz w:val="18"/>
                <w:szCs w:val="18"/>
                <w:highlight w:val="none"/>
                <w:lang w:val="en-US" w:eastAsia="zh-CN"/>
              </w:rPr>
              <w:t>440</w:t>
            </w:r>
            <w:r>
              <w:rPr>
                <w:rFonts w:hint="default" w:ascii="Times New Roman" w:hAnsi="Times New Roman" w:cs="Times New Roman" w:eastAsiaTheme="minorEastAsia"/>
                <w:color w:val="auto"/>
                <w:kern w:val="0"/>
                <w:sz w:val="18"/>
                <w:szCs w:val="18"/>
                <w:highlight w:val="none"/>
              </w:rPr>
              <w:t>元以下的罚款；对单位处以1000元以上</w:t>
            </w:r>
            <w:r>
              <w:rPr>
                <w:rFonts w:hint="default" w:ascii="Times New Roman" w:hAnsi="Times New Roman" w:cs="Times New Roman" w:eastAsiaTheme="minorEastAsia"/>
                <w:color w:val="auto"/>
                <w:kern w:val="0"/>
                <w:sz w:val="18"/>
                <w:szCs w:val="18"/>
                <w:highlight w:val="none"/>
                <w:lang w:val="en-US" w:eastAsia="zh-CN"/>
              </w:rPr>
              <w:t>9700</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shd w:val="clear" w:color="auto" w:fill="auto"/>
            <w:tcMar>
              <w:top w:w="15" w:type="dxa"/>
              <w:left w:w="15" w:type="dxa"/>
              <w:right w:w="15" w:type="dxa"/>
            </w:tcMar>
            <w:vAlign w:val="center"/>
          </w:tcPr>
          <w:p w14:paraId="113AE641">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责令限期改正；造成损失的，依法赔偿损失</w:t>
            </w:r>
          </w:p>
          <w:p w14:paraId="39F02FBA">
            <w:pPr>
              <w:widowControl/>
              <w:shd w:val="clear"/>
              <w:jc w:val="left"/>
              <w:textAlignment w:val="center"/>
              <w:rPr>
                <w:rFonts w:hint="default" w:ascii="Times New Roman" w:hAnsi="Times New Roman" w:cs="Times New Roman" w:eastAsiaTheme="minorEastAsia"/>
                <w:color w:val="auto"/>
                <w:sz w:val="18"/>
                <w:szCs w:val="18"/>
                <w:highlight w:val="none"/>
              </w:rPr>
            </w:pPr>
          </w:p>
          <w:p w14:paraId="37654407">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shd w:val="clear" w:color="auto" w:fill="auto"/>
            <w:tcMar>
              <w:top w:w="15" w:type="dxa"/>
              <w:left w:w="15" w:type="dxa"/>
              <w:right w:w="15" w:type="dxa"/>
            </w:tcMar>
            <w:vAlign w:val="center"/>
          </w:tcPr>
          <w:p w14:paraId="309E79B0">
            <w:pPr>
              <w:shd w:val="clear"/>
              <w:rPr>
                <w:rFonts w:hint="default" w:ascii="Times New Roman" w:hAnsi="Times New Roman" w:cs="Times New Roman" w:eastAsiaTheme="minorEastAsia"/>
                <w:color w:val="auto"/>
                <w:sz w:val="18"/>
                <w:szCs w:val="18"/>
                <w:highlight w:val="none"/>
                <w:lang w:val="en-US" w:eastAsia="zh-CN"/>
              </w:rPr>
            </w:pPr>
          </w:p>
        </w:tc>
      </w:tr>
      <w:tr w14:paraId="79DA0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25" w:hRule="atLeast"/>
        </w:trPr>
        <w:tc>
          <w:tcPr>
            <w:tcW w:w="116" w:type="pct"/>
            <w:vMerge w:val="continue"/>
            <w:shd w:val="clear" w:color="auto" w:fill="auto"/>
            <w:tcMar>
              <w:top w:w="15" w:type="dxa"/>
              <w:left w:w="15" w:type="dxa"/>
              <w:right w:w="15" w:type="dxa"/>
            </w:tcMar>
            <w:vAlign w:val="center"/>
          </w:tcPr>
          <w:p w14:paraId="0204B196">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634A8C66">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5A29BB70">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572E6EA6">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3D57DABE">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2541024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对城市照明造成一般影响</w:t>
            </w:r>
          </w:p>
        </w:tc>
        <w:tc>
          <w:tcPr>
            <w:tcW w:w="545" w:type="pct"/>
            <w:gridSpan w:val="2"/>
            <w:shd w:val="clear" w:color="auto" w:fill="auto"/>
            <w:tcMar>
              <w:top w:w="15" w:type="dxa"/>
              <w:left w:w="15" w:type="dxa"/>
              <w:right w:w="15" w:type="dxa"/>
            </w:tcMar>
            <w:vAlign w:val="center"/>
          </w:tcPr>
          <w:p w14:paraId="3CAE332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对个人处以</w:t>
            </w:r>
            <w:r>
              <w:rPr>
                <w:rFonts w:hint="default" w:ascii="Times New Roman" w:hAnsi="Times New Roman" w:cs="Times New Roman" w:eastAsiaTheme="minorEastAsia"/>
                <w:color w:val="auto"/>
                <w:kern w:val="0"/>
                <w:sz w:val="18"/>
                <w:szCs w:val="18"/>
                <w:highlight w:val="none"/>
                <w:lang w:val="en-US" w:eastAsia="zh-CN"/>
              </w:rPr>
              <w:t>440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760</w:t>
            </w:r>
            <w:r>
              <w:rPr>
                <w:rFonts w:hint="default" w:ascii="Times New Roman" w:hAnsi="Times New Roman" w:cs="Times New Roman" w:eastAsiaTheme="minorEastAsia"/>
                <w:color w:val="auto"/>
                <w:kern w:val="0"/>
                <w:sz w:val="18"/>
                <w:szCs w:val="18"/>
                <w:highlight w:val="none"/>
              </w:rPr>
              <w:t>元以下的罚款；对单位处以</w:t>
            </w:r>
            <w:r>
              <w:rPr>
                <w:rFonts w:hint="default" w:ascii="Times New Roman" w:hAnsi="Times New Roman" w:cs="Times New Roman" w:eastAsiaTheme="minorEastAsia"/>
                <w:color w:val="auto"/>
                <w:kern w:val="0"/>
                <w:sz w:val="18"/>
                <w:szCs w:val="18"/>
                <w:highlight w:val="none"/>
                <w:lang w:val="en-US" w:eastAsia="zh-CN"/>
              </w:rPr>
              <w:t>9700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2.13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restart"/>
            <w:shd w:val="clear" w:color="auto" w:fill="auto"/>
            <w:tcMar>
              <w:top w:w="15" w:type="dxa"/>
              <w:left w:w="15" w:type="dxa"/>
              <w:right w:w="15" w:type="dxa"/>
            </w:tcMar>
            <w:vAlign w:val="center"/>
          </w:tcPr>
          <w:p w14:paraId="3A5C9BE1">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2EB38500">
            <w:pPr>
              <w:shd w:val="clear"/>
              <w:rPr>
                <w:rFonts w:hint="default" w:ascii="Times New Roman" w:hAnsi="Times New Roman" w:cs="Times New Roman" w:eastAsiaTheme="minorEastAsia"/>
                <w:color w:val="auto"/>
                <w:sz w:val="18"/>
                <w:szCs w:val="18"/>
                <w:highlight w:val="none"/>
              </w:rPr>
            </w:pPr>
          </w:p>
        </w:tc>
      </w:tr>
      <w:tr w14:paraId="5563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25" w:hRule="atLeast"/>
        </w:trPr>
        <w:tc>
          <w:tcPr>
            <w:tcW w:w="116" w:type="pct"/>
            <w:vMerge w:val="continue"/>
            <w:shd w:val="clear" w:color="auto" w:fill="auto"/>
            <w:tcMar>
              <w:top w:w="15" w:type="dxa"/>
              <w:left w:w="15" w:type="dxa"/>
              <w:right w:w="15" w:type="dxa"/>
            </w:tcMar>
            <w:vAlign w:val="center"/>
          </w:tcPr>
          <w:p w14:paraId="14B2CB39">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6F6344BB">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0CE84341">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71999602">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7D3F5C0C">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25AF23C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对城市照明造成严重影响</w:t>
            </w:r>
          </w:p>
        </w:tc>
        <w:tc>
          <w:tcPr>
            <w:tcW w:w="545" w:type="pct"/>
            <w:gridSpan w:val="2"/>
            <w:shd w:val="clear" w:color="auto" w:fill="auto"/>
            <w:tcMar>
              <w:top w:w="15" w:type="dxa"/>
              <w:left w:w="15" w:type="dxa"/>
              <w:right w:w="15" w:type="dxa"/>
            </w:tcMar>
            <w:vAlign w:val="center"/>
          </w:tcPr>
          <w:p w14:paraId="50547B7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对个人处以</w:t>
            </w:r>
            <w:r>
              <w:rPr>
                <w:rFonts w:hint="default" w:ascii="Times New Roman" w:hAnsi="Times New Roman" w:cs="Times New Roman" w:eastAsiaTheme="minorEastAsia"/>
                <w:color w:val="auto"/>
                <w:kern w:val="0"/>
                <w:sz w:val="18"/>
                <w:szCs w:val="18"/>
                <w:highlight w:val="none"/>
                <w:lang w:val="en-US" w:eastAsia="zh-CN"/>
              </w:rPr>
              <w:t>760</w:t>
            </w:r>
            <w:r>
              <w:rPr>
                <w:rFonts w:hint="default" w:ascii="Times New Roman" w:hAnsi="Times New Roman" w:cs="Times New Roman" w:eastAsiaTheme="minorEastAsia"/>
                <w:color w:val="auto"/>
                <w:kern w:val="0"/>
                <w:sz w:val="18"/>
                <w:szCs w:val="18"/>
                <w:highlight w:val="none"/>
              </w:rPr>
              <w:t>以上1000元以下的罚款；对单位处以</w:t>
            </w:r>
            <w:r>
              <w:rPr>
                <w:rFonts w:hint="default" w:ascii="Times New Roman" w:hAnsi="Times New Roman" w:cs="Times New Roman" w:eastAsiaTheme="minorEastAsia"/>
                <w:color w:val="auto"/>
                <w:kern w:val="0"/>
                <w:sz w:val="18"/>
                <w:szCs w:val="18"/>
                <w:highlight w:val="none"/>
                <w:lang w:val="en-US" w:eastAsia="zh-CN"/>
              </w:rPr>
              <w:t>2.13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6BC9F498">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2B1B9B2C">
            <w:pPr>
              <w:shd w:val="clear"/>
              <w:rPr>
                <w:rFonts w:hint="default" w:ascii="Times New Roman" w:hAnsi="Times New Roman" w:cs="Times New Roman" w:eastAsiaTheme="minorEastAsia"/>
                <w:color w:val="auto"/>
                <w:sz w:val="18"/>
                <w:szCs w:val="18"/>
                <w:highlight w:val="none"/>
              </w:rPr>
            </w:pPr>
          </w:p>
        </w:tc>
      </w:tr>
      <w:tr w14:paraId="6374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625" w:hRule="atLeast"/>
        </w:trPr>
        <w:tc>
          <w:tcPr>
            <w:tcW w:w="116" w:type="pct"/>
            <w:shd w:val="clear" w:color="auto" w:fill="auto"/>
            <w:tcMar>
              <w:top w:w="15" w:type="dxa"/>
              <w:left w:w="15" w:type="dxa"/>
              <w:right w:w="15" w:type="dxa"/>
            </w:tcMar>
            <w:vAlign w:val="center"/>
          </w:tcPr>
          <w:p w14:paraId="71E96744">
            <w:pPr>
              <w:shd w:val="clear"/>
              <w:jc w:val="center"/>
              <w:rPr>
                <w:rFonts w:hint="default" w:ascii="Times New Roman" w:hAnsi="Times New Roman" w:cs="Times New Roman" w:eastAsiaTheme="minorEastAsia"/>
                <w:color w:val="auto"/>
                <w:sz w:val="18"/>
                <w:szCs w:val="18"/>
                <w:highlight w:val="none"/>
                <w:lang w:val="en-US" w:eastAsia="zh-CN"/>
              </w:rPr>
            </w:pPr>
            <w:bookmarkStart w:id="97" w:name="_Toc31951"/>
            <w:bookmarkStart w:id="98" w:name="_Toc1225615181"/>
            <w:bookmarkStart w:id="99" w:name="_Toc12686"/>
            <w:bookmarkStart w:id="100" w:name="_Toc1075961039"/>
            <w:bookmarkStart w:id="101" w:name="_Toc25375"/>
            <w:bookmarkStart w:id="102" w:name="_Toc7330"/>
            <w:bookmarkStart w:id="103" w:name="_Toc15166"/>
            <w:bookmarkStart w:id="104" w:name="_Toc31626"/>
            <w:r>
              <w:rPr>
                <w:rFonts w:hint="default" w:ascii="Times New Roman" w:hAnsi="Times New Roman" w:cs="Times New Roman" w:eastAsiaTheme="minorEastAsia"/>
                <w:color w:val="auto"/>
                <w:sz w:val="18"/>
                <w:szCs w:val="18"/>
                <w:highlight w:val="none"/>
                <w:lang w:val="en-US" w:eastAsia="zh-CN"/>
              </w:rPr>
              <w:t>118</w:t>
            </w:r>
          </w:p>
        </w:tc>
        <w:tc>
          <w:tcPr>
            <w:tcW w:w="411" w:type="pct"/>
            <w:gridSpan w:val="2"/>
            <w:shd w:val="clear" w:color="auto" w:fill="auto"/>
            <w:tcMar>
              <w:top w:w="15" w:type="dxa"/>
              <w:left w:w="15" w:type="dxa"/>
              <w:right w:w="15" w:type="dxa"/>
            </w:tcMar>
            <w:vAlign w:val="center"/>
          </w:tcPr>
          <w:p w14:paraId="174F2254">
            <w:pPr>
              <w:shd w:val="clear"/>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承担城市道路养护、维修的单位未定期对城市道路进行养护、维修或者未按照规定的期限修复竣工，并拒绝接受市政工程行政主管部门监督、检查的</w:t>
            </w:r>
          </w:p>
        </w:tc>
        <w:tc>
          <w:tcPr>
            <w:tcW w:w="1310" w:type="pct"/>
            <w:gridSpan w:val="2"/>
            <w:shd w:val="clear" w:color="auto" w:fill="auto"/>
            <w:tcMar>
              <w:top w:w="15" w:type="dxa"/>
              <w:left w:w="15" w:type="dxa"/>
              <w:right w:w="15" w:type="dxa"/>
            </w:tcMar>
            <w:vAlign w:val="center"/>
          </w:tcPr>
          <w:p w14:paraId="0D0CA760">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《城市道路管理条例》</w:t>
            </w:r>
            <w:r>
              <w:rPr>
                <w:rFonts w:hint="default" w:ascii="Times New Roman" w:hAnsi="Times New Roman" w:cs="Times New Roman" w:eastAsiaTheme="minorEastAsia"/>
                <w:color w:val="auto"/>
                <w:kern w:val="0"/>
                <w:sz w:val="18"/>
                <w:szCs w:val="18"/>
                <w:highlight w:val="none"/>
              </w:rPr>
              <w:t>第二十一条</w:t>
            </w:r>
            <w:r>
              <w:rPr>
                <w:rFonts w:hint="default" w:ascii="Times New Roman" w:hAnsi="Times New Roman" w:cs="Times New Roman" w:eastAsiaTheme="minorEastAsia"/>
                <w:color w:val="auto"/>
                <w:kern w:val="0"/>
                <w:sz w:val="18"/>
                <w:szCs w:val="18"/>
                <w:highlight w:val="none"/>
                <w:lang w:eastAsia="zh-CN"/>
              </w:rPr>
              <w:t>第一款：“</w:t>
            </w:r>
            <w:r>
              <w:rPr>
                <w:rFonts w:hint="default" w:ascii="Times New Roman" w:hAnsi="Times New Roman" w:cs="Times New Roman" w:eastAsiaTheme="minorEastAsia"/>
                <w:color w:val="auto"/>
                <w:kern w:val="0"/>
                <w:sz w:val="18"/>
                <w:szCs w:val="18"/>
                <w:highlight w:val="none"/>
              </w:rPr>
              <w:t>承担城市道路养护、维修的单位，应当严格执行城市道路养护、维修的技术规范，定期对城市道路进行养护、维修，确保养护、维修工程的质量。</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第二十四条</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城市道路的养护、维修工程应当按照规定的期限修复竣工，并在养护、维修工程施工现场设置明显标志和安全防围设施，保障行人和交通车辆安全。</w:t>
            </w:r>
            <w:r>
              <w:rPr>
                <w:rFonts w:hint="default" w:ascii="Times New Roman" w:hAnsi="Times New Roman" w:cs="Times New Roman" w:eastAsiaTheme="minorEastAsia"/>
                <w:color w:val="auto"/>
                <w:kern w:val="0"/>
                <w:sz w:val="18"/>
                <w:szCs w:val="18"/>
                <w:highlight w:val="none"/>
                <w:lang w:eastAsia="zh-CN"/>
              </w:rPr>
              <w:t>”</w:t>
            </w:r>
          </w:p>
        </w:tc>
        <w:tc>
          <w:tcPr>
            <w:tcW w:w="1314" w:type="pct"/>
            <w:gridSpan w:val="2"/>
            <w:shd w:val="clear" w:color="auto" w:fill="auto"/>
            <w:tcMar>
              <w:top w:w="15" w:type="dxa"/>
              <w:left w:w="15" w:type="dxa"/>
              <w:right w:w="15" w:type="dxa"/>
            </w:tcMar>
            <w:vAlign w:val="center"/>
          </w:tcPr>
          <w:p w14:paraId="3CE1CC15">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eastAsia="zh-CN"/>
              </w:rPr>
              <w:t>《城市道路管理条例》</w:t>
            </w:r>
            <w:r>
              <w:rPr>
                <w:rFonts w:hint="default" w:ascii="Times New Roman" w:hAnsi="Times New Roman" w:cs="Times New Roman" w:eastAsiaTheme="minorEastAsia"/>
                <w:color w:val="auto"/>
                <w:kern w:val="0"/>
                <w:sz w:val="18"/>
                <w:szCs w:val="18"/>
                <w:highlight w:val="none"/>
              </w:rPr>
              <w:t>第四十一条　承担城市道路养护、维修的单位违反本条例的规定，未定期对城市道路进行养护、维修或者未按照规定的期限修复竣工，并拒绝接受市政工程行政主管部门监督、检查的，由市政工程行政主管部门责令限期改正，给予警告；对负有直接责任的主管人员和其他直接责任人员，依法给予行政处分。</w:t>
            </w:r>
          </w:p>
        </w:tc>
        <w:tc>
          <w:tcPr>
            <w:tcW w:w="1516" w:type="pct"/>
            <w:gridSpan w:val="10"/>
            <w:shd w:val="clear" w:color="auto" w:fill="auto"/>
            <w:tcMar>
              <w:top w:w="15" w:type="dxa"/>
              <w:left w:w="15" w:type="dxa"/>
              <w:right w:w="15" w:type="dxa"/>
            </w:tcMar>
            <w:vAlign w:val="center"/>
          </w:tcPr>
          <w:p w14:paraId="4BDD93CA">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责令限期改正，给予警告；对负有直接责任的主管人员和其他直接责任人员，依法给予行政处分</w:t>
            </w:r>
          </w:p>
        </w:tc>
        <w:tc>
          <w:tcPr>
            <w:tcW w:w="329" w:type="pct"/>
            <w:gridSpan w:val="2"/>
            <w:shd w:val="clear" w:color="auto" w:fill="auto"/>
            <w:tcMar>
              <w:top w:w="15" w:type="dxa"/>
              <w:left w:w="15" w:type="dxa"/>
              <w:right w:w="15" w:type="dxa"/>
            </w:tcMar>
            <w:vAlign w:val="center"/>
          </w:tcPr>
          <w:p w14:paraId="672091B4">
            <w:pPr>
              <w:shd w:val="clear"/>
              <w:jc w:val="left"/>
              <w:rPr>
                <w:rFonts w:hint="default" w:ascii="Times New Roman" w:hAnsi="Times New Roman" w:cs="Times New Roman" w:eastAsiaTheme="minorEastAsia"/>
                <w:color w:val="auto"/>
                <w:sz w:val="18"/>
                <w:szCs w:val="18"/>
                <w:highlight w:val="none"/>
                <w:lang w:eastAsia="zh-CN"/>
              </w:rPr>
            </w:pPr>
          </w:p>
        </w:tc>
      </w:tr>
      <w:bookmarkEnd w:id="97"/>
      <w:bookmarkEnd w:id="98"/>
      <w:bookmarkEnd w:id="99"/>
      <w:bookmarkEnd w:id="100"/>
      <w:bookmarkEnd w:id="101"/>
      <w:bookmarkEnd w:id="102"/>
      <w:bookmarkEnd w:id="103"/>
      <w:bookmarkEnd w:id="104"/>
      <w:tr w14:paraId="5524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590" w:hRule="atLeast"/>
        </w:trPr>
        <w:tc>
          <w:tcPr>
            <w:tcW w:w="4999" w:type="pct"/>
            <w:gridSpan w:val="19"/>
            <w:shd w:val="clear" w:color="auto" w:fill="auto"/>
            <w:tcMar>
              <w:top w:w="15" w:type="dxa"/>
              <w:left w:w="15" w:type="dxa"/>
              <w:right w:w="15" w:type="dxa"/>
            </w:tcMar>
            <w:vAlign w:val="center"/>
          </w:tcPr>
          <w:p w14:paraId="3821F531">
            <w:pPr>
              <w:shd w:val="clear"/>
              <w:jc w:val="center"/>
              <w:outlineLvl w:val="0"/>
              <w:rPr>
                <w:rFonts w:hint="eastAsia" w:ascii="Times New Roman" w:hAnsi="Times New Roman" w:cs="Times New Roman" w:eastAsiaTheme="minorEastAsia"/>
                <w:color w:val="auto"/>
                <w:szCs w:val="18"/>
                <w:highlight w:val="none"/>
                <w:lang w:eastAsia="zh-CN"/>
              </w:rPr>
            </w:pPr>
            <w:bookmarkStart w:id="105" w:name="_Toc1380238491"/>
            <w:bookmarkStart w:id="106" w:name="_Toc380234861"/>
            <w:r>
              <w:rPr>
                <w:rFonts w:hint="eastAsia" w:ascii="Times New Roman" w:hAnsi="Times New Roman" w:eastAsiaTheme="minorEastAsia" w:cstheme="minorBidi"/>
                <w:kern w:val="2"/>
                <w:sz w:val="21"/>
                <w:szCs w:val="24"/>
                <w:lang w:val="en-US" w:eastAsia="zh-CN" w:bidi="ar-SA"/>
              </w:rPr>
              <w:t>五、燃气管理（第119项-第159项，共41项）</w:t>
            </w:r>
            <w:bookmarkEnd w:id="105"/>
            <w:bookmarkEnd w:id="106"/>
          </w:p>
        </w:tc>
      </w:tr>
      <w:tr w14:paraId="4762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095" w:hRule="atLeast"/>
        </w:trPr>
        <w:tc>
          <w:tcPr>
            <w:tcW w:w="116" w:type="pct"/>
            <w:vMerge w:val="restart"/>
            <w:shd w:val="clear" w:color="auto" w:fill="auto"/>
            <w:tcMar>
              <w:top w:w="15" w:type="dxa"/>
              <w:left w:w="15" w:type="dxa"/>
              <w:right w:w="15" w:type="dxa"/>
            </w:tcMar>
            <w:vAlign w:val="center"/>
          </w:tcPr>
          <w:p w14:paraId="68974106">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119</w:t>
            </w:r>
          </w:p>
        </w:tc>
        <w:tc>
          <w:tcPr>
            <w:tcW w:w="411" w:type="pct"/>
            <w:gridSpan w:val="2"/>
            <w:vMerge w:val="restart"/>
            <w:shd w:val="clear" w:color="auto" w:fill="auto"/>
            <w:tcMar>
              <w:top w:w="15" w:type="dxa"/>
              <w:left w:w="15" w:type="dxa"/>
              <w:right w:w="15" w:type="dxa"/>
            </w:tcMar>
            <w:vAlign w:val="center"/>
          </w:tcPr>
          <w:p w14:paraId="176EC43E">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未取得燃气经营许可证从事燃气经营活动</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612DE8C3">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1.</w:t>
            </w:r>
            <w:r>
              <w:rPr>
                <w:rFonts w:hint="default" w:ascii="Times New Roman" w:hAnsi="Times New Roman" w:cs="Times New Roman" w:eastAsiaTheme="minorEastAsia"/>
                <w:color w:val="auto"/>
                <w:kern w:val="0"/>
                <w:sz w:val="18"/>
                <w:szCs w:val="18"/>
                <w:highlight w:val="none"/>
              </w:rPr>
              <w:t>《城镇燃气管理条例》第十五条“国家对燃气经营实行许可证制度。从事燃气经营活动的企业，应当具备下列条件：（一）符合燃气发展规划要求；（二）有符合国家标准的燃气气源和燃气设施；（三）有固定的经营场所、完善的安全管理制度和健全的经营方案；（四）企业的主要负责人、安全生产管理人员以及运行、维护和抢修人员经专业培训并考核合格；（五）法律、法规规定的其他条件。”</w:t>
            </w:r>
            <w:r>
              <w:rPr>
                <w:rFonts w:hint="default" w:ascii="Times New Roman" w:hAnsi="Times New Roman" w:cs="Times New Roman" w:eastAsiaTheme="minorEastAsia"/>
                <w:color w:val="auto"/>
                <w:kern w:val="0"/>
                <w:sz w:val="18"/>
                <w:szCs w:val="18"/>
                <w:highlight w:val="none"/>
                <w:lang w:val="en-US" w:eastAsia="zh-CN"/>
              </w:rPr>
              <w:t>“</w:t>
            </w:r>
            <w:r>
              <w:rPr>
                <w:rFonts w:hint="default" w:ascii="Times New Roman" w:hAnsi="Times New Roman" w:cs="Times New Roman" w:eastAsiaTheme="minorEastAsia"/>
                <w:color w:val="auto"/>
                <w:kern w:val="0"/>
                <w:sz w:val="18"/>
                <w:szCs w:val="18"/>
                <w:highlight w:val="none"/>
              </w:rPr>
              <w:t xml:space="preserve">符合前款规定条件的，由县级以上地方人民政府燃气管理部门核发燃气经营许可证。” </w:t>
            </w:r>
          </w:p>
          <w:p w14:paraId="4E45EB66">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2.</w:t>
            </w:r>
            <w:r>
              <w:rPr>
                <w:rFonts w:hint="default" w:ascii="Times New Roman" w:hAnsi="Times New Roman" w:cs="Times New Roman" w:eastAsiaTheme="minorEastAsia"/>
                <w:color w:val="auto"/>
                <w:kern w:val="0"/>
                <w:sz w:val="18"/>
                <w:szCs w:val="18"/>
                <w:highlight w:val="none"/>
              </w:rPr>
              <w:t>《东莞市燃气管理办法》第十九条：“从事燃气经营活动的，应当符合《城镇燃气管理条例》和《广东省燃气管理条例》规定的条件，并依法向市燃气行政主管部门申请燃气经营许可证，不得超出经营许可范围经营。”</w:t>
            </w:r>
          </w:p>
        </w:tc>
        <w:tc>
          <w:tcPr>
            <w:tcW w:w="1314" w:type="pct"/>
            <w:gridSpan w:val="2"/>
            <w:vMerge w:val="restart"/>
            <w:shd w:val="clear" w:color="auto" w:fill="auto"/>
            <w:tcMar>
              <w:top w:w="15" w:type="dxa"/>
              <w:left w:w="15" w:type="dxa"/>
              <w:right w:w="15" w:type="dxa"/>
            </w:tcMar>
            <w:vAlign w:val="center"/>
          </w:tcPr>
          <w:p w14:paraId="3EAA5F96">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1.</w:t>
            </w:r>
            <w:r>
              <w:rPr>
                <w:rFonts w:hint="default" w:ascii="Times New Roman" w:hAnsi="Times New Roman" w:cs="Times New Roman" w:eastAsiaTheme="minorEastAsia"/>
                <w:color w:val="auto"/>
                <w:kern w:val="0"/>
                <w:sz w:val="18"/>
                <w:szCs w:val="18"/>
                <w:highlight w:val="none"/>
              </w:rPr>
              <w:t>《城镇燃气管理条例》第四十五条第一款：“违反本条例规定，未取得燃气经营许可证从事燃气经营活动的，由燃气管理部门责令停止违法行为，处5万元以上50万元以下罚款；有违法所得的，没收违法所得；构成犯罪的，依法追究刑事责任。”</w:t>
            </w:r>
          </w:p>
          <w:p w14:paraId="63FEDAEF">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2.《东莞市燃气管理办法》第五十一条第一款：“违反本办法第十九条规定，企业未取得燃气经营许可证从事燃气经营活动的，由燃气行政主管部门根据《城镇燃气管理条例》第四十五条第一款规定进行处罚。”</w:t>
            </w:r>
          </w:p>
        </w:tc>
        <w:tc>
          <w:tcPr>
            <w:tcW w:w="177" w:type="pct"/>
            <w:gridSpan w:val="2"/>
            <w:shd w:val="clear" w:color="auto" w:fill="auto"/>
            <w:tcMar>
              <w:top w:w="15" w:type="dxa"/>
              <w:left w:w="15" w:type="dxa"/>
              <w:right w:w="15" w:type="dxa"/>
            </w:tcMar>
            <w:vAlign w:val="center"/>
          </w:tcPr>
          <w:p w14:paraId="0226F4F9">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737AB9D4">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未取得燃气经营许可证经营时间1个月</w:t>
            </w:r>
            <w:r>
              <w:rPr>
                <w:rFonts w:hint="default" w:ascii="Times New Roman" w:hAnsi="Times New Roman" w:cs="Times New Roman" w:eastAsiaTheme="minorEastAsia"/>
                <w:color w:val="auto"/>
                <w:kern w:val="0"/>
                <w:sz w:val="18"/>
                <w:szCs w:val="18"/>
                <w:highlight w:val="none"/>
                <w:lang w:eastAsia="zh-CN"/>
              </w:rPr>
              <w:t>以下；</w:t>
            </w:r>
          </w:p>
          <w:p w14:paraId="4F93FB25">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经营场所面积30平方米</w:t>
            </w:r>
            <w:r>
              <w:rPr>
                <w:rFonts w:hint="default" w:ascii="Times New Roman" w:hAnsi="Times New Roman" w:cs="Times New Roman" w:eastAsiaTheme="minorEastAsia"/>
                <w:color w:val="auto"/>
                <w:kern w:val="0"/>
                <w:sz w:val="18"/>
                <w:szCs w:val="18"/>
                <w:highlight w:val="none"/>
                <w:lang w:eastAsia="zh-CN"/>
              </w:rPr>
              <w:t>以下；</w:t>
            </w:r>
          </w:p>
          <w:p w14:paraId="534C3966">
            <w:pPr>
              <w:widowControl/>
              <w:shd w:val="clear"/>
              <w:jc w:val="left"/>
              <w:textAlignment w:val="center"/>
              <w:rPr>
                <w:rFonts w:hint="eastAsia" w:ascii="Times New Roman" w:hAnsi="Times New Roman" w:cs="Times New Roman"/>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经营气量</w:t>
            </w:r>
            <w:r>
              <w:rPr>
                <w:rFonts w:hint="eastAsia" w:ascii="Times New Roman" w:hAnsi="Times New Roman" w:cs="Times New Roman"/>
                <w:color w:val="auto"/>
                <w:kern w:val="0"/>
                <w:sz w:val="18"/>
                <w:szCs w:val="18"/>
                <w:highlight w:val="none"/>
                <w:lang w:val="en-US" w:eastAsia="zh-CN"/>
              </w:rPr>
              <w:t>150立方米</w:t>
            </w:r>
            <w:r>
              <w:rPr>
                <w:rFonts w:hint="default" w:ascii="Times New Roman" w:hAnsi="Times New Roman" w:cs="Times New Roman" w:eastAsiaTheme="minorEastAsia"/>
                <w:color w:val="auto"/>
                <w:kern w:val="0"/>
                <w:sz w:val="18"/>
                <w:szCs w:val="18"/>
                <w:highlight w:val="none"/>
                <w:lang w:eastAsia="zh-CN"/>
              </w:rPr>
              <w:t>以下</w:t>
            </w:r>
            <w:r>
              <w:rPr>
                <w:rFonts w:hint="eastAsia" w:ascii="Times New Roman" w:hAnsi="Times New Roman" w:cs="Times New Roman"/>
                <w:color w:val="auto"/>
                <w:kern w:val="0"/>
                <w:sz w:val="18"/>
                <w:szCs w:val="18"/>
                <w:highlight w:val="none"/>
                <w:lang w:eastAsia="zh-CN"/>
              </w:rPr>
              <w:t>（天然气）；</w:t>
            </w:r>
          </w:p>
          <w:p w14:paraId="7FF106A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经营气量</w:t>
            </w:r>
            <w:r>
              <w:rPr>
                <w:rFonts w:hint="eastAsia" w:ascii="Times New Roman" w:hAnsi="Times New Roman" w:cs="Times New Roman"/>
                <w:color w:val="auto"/>
                <w:kern w:val="0"/>
                <w:sz w:val="18"/>
                <w:szCs w:val="18"/>
                <w:highlight w:val="none"/>
                <w:lang w:val="en-US" w:eastAsia="zh-CN"/>
              </w:rPr>
              <w:t>100瓶以下（液化石油气）</w:t>
            </w:r>
          </w:p>
        </w:tc>
        <w:tc>
          <w:tcPr>
            <w:tcW w:w="545" w:type="pct"/>
            <w:gridSpan w:val="2"/>
            <w:shd w:val="clear" w:color="auto" w:fill="auto"/>
            <w:tcMar>
              <w:top w:w="15" w:type="dxa"/>
              <w:left w:w="15" w:type="dxa"/>
              <w:right w:w="15" w:type="dxa"/>
            </w:tcMar>
            <w:vAlign w:val="center"/>
          </w:tcPr>
          <w:p w14:paraId="208D484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rPr>
              <w:t>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18.5</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元以下罚款；有违法所得的，没收违法所得</w:t>
            </w:r>
          </w:p>
        </w:tc>
        <w:tc>
          <w:tcPr>
            <w:tcW w:w="260" w:type="pct"/>
            <w:gridSpan w:val="3"/>
            <w:vMerge w:val="restart"/>
            <w:shd w:val="clear" w:color="auto" w:fill="auto"/>
            <w:tcMar>
              <w:top w:w="15" w:type="dxa"/>
              <w:left w:w="15" w:type="dxa"/>
              <w:right w:w="15" w:type="dxa"/>
            </w:tcMar>
            <w:vAlign w:val="center"/>
          </w:tcPr>
          <w:p w14:paraId="5A44ADCD">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责令停止违法行为；构成犯罪的，依法追究刑事责任</w:t>
            </w:r>
          </w:p>
          <w:p w14:paraId="10BB0EF8">
            <w:pPr>
              <w:widowControl/>
              <w:shd w:val="clear"/>
              <w:jc w:val="left"/>
              <w:textAlignment w:val="center"/>
              <w:rPr>
                <w:rFonts w:hint="default" w:ascii="Times New Roman" w:hAnsi="Times New Roman" w:cs="Times New Roman" w:eastAsiaTheme="minorEastAsia"/>
                <w:color w:val="auto"/>
                <w:sz w:val="18"/>
                <w:szCs w:val="18"/>
                <w:highlight w:val="none"/>
              </w:rPr>
            </w:pPr>
          </w:p>
          <w:p w14:paraId="39D077B7">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2FB67EC5">
            <w:pPr>
              <w:shd w:val="clear"/>
              <w:jc w:val="left"/>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strike w:val="0"/>
                <w:color w:val="auto"/>
                <w:sz w:val="18"/>
                <w:szCs w:val="18"/>
                <w:highlight w:val="none"/>
                <w:lang w:val="en-US" w:eastAsia="zh-CN"/>
              </w:rPr>
              <w:t>此处气瓶为15公斤规格，其它规格请折算适用</w:t>
            </w:r>
          </w:p>
        </w:tc>
      </w:tr>
      <w:tr w14:paraId="3D15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095" w:hRule="atLeast"/>
        </w:trPr>
        <w:tc>
          <w:tcPr>
            <w:tcW w:w="116" w:type="pct"/>
            <w:vMerge w:val="continue"/>
            <w:shd w:val="clear" w:color="auto" w:fill="auto"/>
            <w:tcMar>
              <w:top w:w="15" w:type="dxa"/>
              <w:left w:w="15" w:type="dxa"/>
              <w:right w:w="15" w:type="dxa"/>
            </w:tcMar>
            <w:vAlign w:val="center"/>
          </w:tcPr>
          <w:p w14:paraId="654AB8F0">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669BF090">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5688C861">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2F15AE46">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36B20F51">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40CF8C20">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未取得燃气经营许可证经营时间1个月</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2个月</w:t>
            </w:r>
            <w:r>
              <w:rPr>
                <w:rFonts w:hint="default" w:ascii="Times New Roman" w:hAnsi="Times New Roman" w:cs="Times New Roman" w:eastAsiaTheme="minorEastAsia"/>
                <w:color w:val="auto"/>
                <w:kern w:val="0"/>
                <w:sz w:val="18"/>
                <w:szCs w:val="18"/>
                <w:highlight w:val="none"/>
                <w:lang w:eastAsia="zh-CN"/>
              </w:rPr>
              <w:t>以下；</w:t>
            </w:r>
          </w:p>
          <w:p w14:paraId="3E2F8790">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经营场所面积30平方米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50平方米</w:t>
            </w:r>
            <w:r>
              <w:rPr>
                <w:rFonts w:hint="default" w:ascii="Times New Roman" w:hAnsi="Times New Roman" w:cs="Times New Roman" w:eastAsiaTheme="minorEastAsia"/>
                <w:color w:val="auto"/>
                <w:kern w:val="0"/>
                <w:sz w:val="18"/>
                <w:szCs w:val="18"/>
                <w:highlight w:val="none"/>
                <w:lang w:eastAsia="zh-CN"/>
              </w:rPr>
              <w:t>以下；</w:t>
            </w:r>
          </w:p>
          <w:p w14:paraId="308BC985">
            <w:pPr>
              <w:widowControl/>
              <w:shd w:val="clear"/>
              <w:jc w:val="left"/>
              <w:textAlignment w:val="center"/>
              <w:rPr>
                <w:rFonts w:hint="eastAsia" w:ascii="Times New Roman" w:hAnsi="Times New Roman" w:cs="Times New Roman"/>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经营气量</w:t>
            </w:r>
            <w:r>
              <w:rPr>
                <w:rFonts w:hint="eastAsia" w:ascii="Times New Roman" w:hAnsi="Times New Roman" w:cs="Times New Roman"/>
                <w:color w:val="auto"/>
                <w:kern w:val="0"/>
                <w:sz w:val="18"/>
                <w:szCs w:val="18"/>
                <w:highlight w:val="none"/>
                <w:lang w:val="en-US" w:eastAsia="zh-CN"/>
              </w:rPr>
              <w:t>150立方米</w:t>
            </w:r>
            <w:r>
              <w:rPr>
                <w:rFonts w:hint="eastAsia" w:ascii="Times New Roman" w:hAnsi="Times New Roman" w:cs="Times New Roman"/>
                <w:color w:val="auto"/>
                <w:kern w:val="0"/>
                <w:sz w:val="18"/>
                <w:szCs w:val="18"/>
                <w:highlight w:val="none"/>
                <w:lang w:eastAsia="zh-CN"/>
              </w:rPr>
              <w:t>以上</w:t>
            </w:r>
            <w:r>
              <w:rPr>
                <w:rFonts w:hint="eastAsia" w:ascii="Times New Roman" w:hAnsi="Times New Roman" w:cs="Times New Roman"/>
                <w:color w:val="auto"/>
                <w:kern w:val="0"/>
                <w:sz w:val="18"/>
                <w:szCs w:val="18"/>
                <w:highlight w:val="none"/>
                <w:lang w:val="en-US" w:eastAsia="zh-CN"/>
              </w:rPr>
              <w:t>300立方米以下</w:t>
            </w:r>
            <w:r>
              <w:rPr>
                <w:rFonts w:hint="eastAsia" w:ascii="Times New Roman" w:hAnsi="Times New Roman" w:cs="Times New Roman"/>
                <w:color w:val="auto"/>
                <w:kern w:val="0"/>
                <w:sz w:val="18"/>
                <w:szCs w:val="18"/>
                <w:highlight w:val="none"/>
                <w:lang w:eastAsia="zh-CN"/>
              </w:rPr>
              <w:t>（天然气）；</w:t>
            </w:r>
          </w:p>
          <w:p w14:paraId="1ACBB4E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经营气量</w:t>
            </w:r>
            <w:r>
              <w:rPr>
                <w:rFonts w:hint="eastAsia" w:ascii="Times New Roman" w:hAnsi="Times New Roman" w:cs="Times New Roman"/>
                <w:color w:val="auto"/>
                <w:kern w:val="0"/>
                <w:sz w:val="18"/>
                <w:szCs w:val="18"/>
                <w:highlight w:val="none"/>
                <w:lang w:val="en-US" w:eastAsia="zh-CN"/>
              </w:rPr>
              <w:t>100瓶以上250瓶以下（液化石油气）</w:t>
            </w:r>
          </w:p>
        </w:tc>
        <w:tc>
          <w:tcPr>
            <w:tcW w:w="545" w:type="pct"/>
            <w:gridSpan w:val="2"/>
            <w:shd w:val="clear" w:color="auto" w:fill="auto"/>
            <w:tcMar>
              <w:top w:w="15" w:type="dxa"/>
              <w:left w:w="15" w:type="dxa"/>
              <w:right w:w="15" w:type="dxa"/>
            </w:tcMar>
            <w:vAlign w:val="center"/>
          </w:tcPr>
          <w:p w14:paraId="0C536E3A">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18.5</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36.5</w:t>
            </w:r>
            <w:r>
              <w:rPr>
                <w:rFonts w:hint="default" w:ascii="Times New Roman" w:hAnsi="Times New Roman" w:cs="Times New Roman" w:eastAsiaTheme="minorEastAsia"/>
                <w:color w:val="auto"/>
                <w:kern w:val="0"/>
                <w:sz w:val="18"/>
                <w:szCs w:val="18"/>
                <w:highlight w:val="none"/>
              </w:rPr>
              <w:t>万元以下罚款；有违法所得的，没收违法所得</w:t>
            </w:r>
          </w:p>
        </w:tc>
        <w:tc>
          <w:tcPr>
            <w:tcW w:w="260" w:type="pct"/>
            <w:gridSpan w:val="3"/>
            <w:vMerge w:val="continue"/>
            <w:shd w:val="clear" w:color="auto" w:fill="auto"/>
            <w:tcMar>
              <w:top w:w="15" w:type="dxa"/>
              <w:left w:w="15" w:type="dxa"/>
              <w:right w:w="15" w:type="dxa"/>
            </w:tcMar>
            <w:vAlign w:val="center"/>
          </w:tcPr>
          <w:p w14:paraId="1DD99573">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44555EE6">
            <w:pPr>
              <w:shd w:val="clear"/>
              <w:jc w:val="left"/>
              <w:rPr>
                <w:rFonts w:hint="default" w:ascii="Times New Roman" w:hAnsi="Times New Roman" w:cs="Times New Roman" w:eastAsiaTheme="minorEastAsia"/>
                <w:color w:val="auto"/>
                <w:sz w:val="18"/>
                <w:szCs w:val="18"/>
                <w:highlight w:val="none"/>
              </w:rPr>
            </w:pPr>
          </w:p>
        </w:tc>
      </w:tr>
      <w:tr w14:paraId="6CAA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095" w:hRule="atLeast"/>
        </w:trPr>
        <w:tc>
          <w:tcPr>
            <w:tcW w:w="116" w:type="pct"/>
            <w:vMerge w:val="continue"/>
            <w:shd w:val="clear" w:color="auto" w:fill="auto"/>
            <w:tcMar>
              <w:top w:w="15" w:type="dxa"/>
              <w:left w:w="15" w:type="dxa"/>
              <w:right w:w="15" w:type="dxa"/>
            </w:tcMar>
            <w:vAlign w:val="center"/>
          </w:tcPr>
          <w:p w14:paraId="4841BDDE">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779B63CD">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5CC64A7C">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6D04EE99">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213AD4D9">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4BFF5B59">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未取得燃气经营许可证经营时间2个月</w:t>
            </w:r>
            <w:r>
              <w:rPr>
                <w:rFonts w:hint="default" w:ascii="Times New Roman" w:hAnsi="Times New Roman" w:cs="Times New Roman" w:eastAsiaTheme="minorEastAsia"/>
                <w:color w:val="auto"/>
                <w:kern w:val="0"/>
                <w:sz w:val="18"/>
                <w:szCs w:val="18"/>
                <w:highlight w:val="none"/>
                <w:lang w:eastAsia="zh-CN"/>
              </w:rPr>
              <w:t>以上；</w:t>
            </w:r>
          </w:p>
          <w:p w14:paraId="23E1119C">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经营场所面积50平方米</w:t>
            </w:r>
            <w:r>
              <w:rPr>
                <w:rFonts w:hint="default" w:ascii="Times New Roman" w:hAnsi="Times New Roman" w:cs="Times New Roman" w:eastAsiaTheme="minorEastAsia"/>
                <w:color w:val="auto"/>
                <w:kern w:val="0"/>
                <w:sz w:val="18"/>
                <w:szCs w:val="18"/>
                <w:highlight w:val="none"/>
                <w:lang w:eastAsia="zh-CN"/>
              </w:rPr>
              <w:t>以上；</w:t>
            </w:r>
          </w:p>
          <w:p w14:paraId="1F1E549C">
            <w:pPr>
              <w:widowControl/>
              <w:shd w:val="clear"/>
              <w:jc w:val="left"/>
              <w:textAlignment w:val="center"/>
              <w:rPr>
                <w:rFonts w:hint="eastAsia" w:ascii="Times New Roman" w:hAnsi="Times New Roman" w:cs="Times New Roman"/>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经营气量</w:t>
            </w:r>
            <w:r>
              <w:rPr>
                <w:rFonts w:hint="eastAsia" w:ascii="Times New Roman" w:hAnsi="Times New Roman" w:cs="Times New Roman"/>
                <w:color w:val="auto"/>
                <w:kern w:val="0"/>
                <w:sz w:val="18"/>
                <w:szCs w:val="18"/>
                <w:highlight w:val="none"/>
                <w:lang w:val="en-US" w:eastAsia="zh-CN"/>
              </w:rPr>
              <w:t>300立方米</w:t>
            </w:r>
            <w:r>
              <w:rPr>
                <w:rFonts w:hint="eastAsia" w:ascii="Times New Roman" w:hAnsi="Times New Roman" w:cs="Times New Roman"/>
                <w:color w:val="auto"/>
                <w:kern w:val="0"/>
                <w:sz w:val="18"/>
                <w:szCs w:val="18"/>
                <w:highlight w:val="none"/>
                <w:lang w:eastAsia="zh-CN"/>
              </w:rPr>
              <w:t>以上（天然气）；</w:t>
            </w:r>
          </w:p>
          <w:p w14:paraId="306BA24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经营气量</w:t>
            </w:r>
            <w:r>
              <w:rPr>
                <w:rFonts w:hint="eastAsia" w:ascii="Times New Roman" w:hAnsi="Times New Roman" w:cs="Times New Roman"/>
                <w:color w:val="auto"/>
                <w:kern w:val="0"/>
                <w:sz w:val="18"/>
                <w:szCs w:val="18"/>
                <w:highlight w:val="none"/>
                <w:lang w:val="en-US" w:eastAsia="zh-CN"/>
              </w:rPr>
              <w:t>250瓶以上（液化石油气）</w:t>
            </w:r>
          </w:p>
        </w:tc>
        <w:tc>
          <w:tcPr>
            <w:tcW w:w="545" w:type="pct"/>
            <w:gridSpan w:val="2"/>
            <w:shd w:val="clear" w:color="auto" w:fill="auto"/>
            <w:tcMar>
              <w:top w:w="15" w:type="dxa"/>
              <w:left w:w="15" w:type="dxa"/>
              <w:right w:w="15" w:type="dxa"/>
            </w:tcMar>
            <w:vAlign w:val="center"/>
          </w:tcPr>
          <w:p w14:paraId="5AD4BA9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36.5</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50万</w:t>
            </w:r>
            <w:r>
              <w:rPr>
                <w:rFonts w:hint="default" w:ascii="Times New Roman" w:hAnsi="Times New Roman" w:cs="Times New Roman" w:eastAsiaTheme="minorEastAsia"/>
                <w:color w:val="auto"/>
                <w:kern w:val="0"/>
                <w:sz w:val="18"/>
                <w:szCs w:val="18"/>
                <w:highlight w:val="none"/>
              </w:rPr>
              <w:t>元以下罚款；有违法所得的，没收违法所得</w:t>
            </w:r>
          </w:p>
        </w:tc>
        <w:tc>
          <w:tcPr>
            <w:tcW w:w="260" w:type="pct"/>
            <w:gridSpan w:val="3"/>
            <w:vMerge w:val="continue"/>
            <w:shd w:val="clear" w:color="auto" w:fill="auto"/>
            <w:tcMar>
              <w:top w:w="15" w:type="dxa"/>
              <w:left w:w="15" w:type="dxa"/>
              <w:right w:w="15" w:type="dxa"/>
            </w:tcMar>
            <w:vAlign w:val="center"/>
          </w:tcPr>
          <w:p w14:paraId="12EE63AE">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2E91D263">
            <w:pPr>
              <w:shd w:val="clear"/>
              <w:jc w:val="left"/>
              <w:rPr>
                <w:rFonts w:hint="default" w:ascii="Times New Roman" w:hAnsi="Times New Roman" w:cs="Times New Roman" w:eastAsiaTheme="minorEastAsia"/>
                <w:color w:val="auto"/>
                <w:sz w:val="18"/>
                <w:szCs w:val="18"/>
                <w:highlight w:val="none"/>
              </w:rPr>
            </w:pPr>
          </w:p>
        </w:tc>
      </w:tr>
      <w:tr w14:paraId="7038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395" w:hRule="atLeast"/>
        </w:trPr>
        <w:tc>
          <w:tcPr>
            <w:tcW w:w="116" w:type="pct"/>
            <w:vMerge w:val="restart"/>
            <w:shd w:val="clear" w:color="auto" w:fill="auto"/>
            <w:tcMar>
              <w:top w:w="15" w:type="dxa"/>
              <w:left w:w="15" w:type="dxa"/>
              <w:right w:w="15" w:type="dxa"/>
            </w:tcMar>
            <w:vAlign w:val="center"/>
          </w:tcPr>
          <w:p w14:paraId="5DAAF099">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120</w:t>
            </w:r>
          </w:p>
        </w:tc>
        <w:tc>
          <w:tcPr>
            <w:tcW w:w="411" w:type="pct"/>
            <w:gridSpan w:val="2"/>
            <w:vMerge w:val="restart"/>
            <w:shd w:val="clear" w:color="auto" w:fill="auto"/>
            <w:tcMar>
              <w:top w:w="15" w:type="dxa"/>
              <w:left w:w="15" w:type="dxa"/>
              <w:right w:w="15" w:type="dxa"/>
            </w:tcMar>
            <w:vAlign w:val="center"/>
          </w:tcPr>
          <w:p w14:paraId="4B98C3C5">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燃气经营者不按照燃气经营许可证的规定从事燃气经营活动</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53744E71">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1.</w:t>
            </w:r>
            <w:r>
              <w:rPr>
                <w:rFonts w:hint="default" w:ascii="Times New Roman" w:hAnsi="Times New Roman" w:cs="Times New Roman" w:eastAsiaTheme="minorEastAsia"/>
                <w:color w:val="auto"/>
                <w:kern w:val="0"/>
                <w:sz w:val="18"/>
                <w:szCs w:val="18"/>
                <w:highlight w:val="none"/>
              </w:rPr>
              <w:t>《城镇燃气管理条例》第十五条第一款“国家对燃气经营实行许可证制度。从事燃气经营活动的企业，应当具备下列条件：（一）符合燃气发展规划要求；（二）有符合国家标准的燃气气源和燃气设施；（三）有固定的经营场所、完善的安全管理制度和健全的经营方案；（四）企业的主要负责人、安全生产管理人员以及运行、维护和抢修人员经专业培训并考核合格；（五）法律、法规规定的其他条件。”</w:t>
            </w:r>
          </w:p>
          <w:p w14:paraId="0135819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2.《东莞市燃气管理办法》第十九条：“从事燃气经营活动的，应当符合《城镇燃气管理条例》和《广东省燃气管理条例》规定的条件，并依法向市燃气行政主管部门申请燃气经营许可证，不得超出经营许可范围经营。”</w:t>
            </w:r>
            <w:r>
              <w:rPr>
                <w:rFonts w:hint="default" w:ascii="Times New Roman" w:hAnsi="Times New Roman" w:cs="Times New Roman" w:eastAsiaTheme="minorEastAsia"/>
                <w:color w:val="auto"/>
                <w:kern w:val="0"/>
                <w:sz w:val="18"/>
                <w:szCs w:val="18"/>
                <w:highlight w:val="none"/>
              </w:rPr>
              <w:t xml:space="preserve">   </w:t>
            </w:r>
          </w:p>
        </w:tc>
        <w:tc>
          <w:tcPr>
            <w:tcW w:w="1314" w:type="pct"/>
            <w:gridSpan w:val="2"/>
            <w:vMerge w:val="restart"/>
            <w:shd w:val="clear" w:color="auto" w:fill="auto"/>
            <w:tcMar>
              <w:top w:w="15" w:type="dxa"/>
              <w:left w:w="15" w:type="dxa"/>
              <w:right w:w="15" w:type="dxa"/>
            </w:tcMar>
            <w:vAlign w:val="center"/>
          </w:tcPr>
          <w:p w14:paraId="1D2DAA9D">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1.</w:t>
            </w:r>
            <w:r>
              <w:rPr>
                <w:rFonts w:hint="default" w:ascii="Times New Roman" w:hAnsi="Times New Roman" w:cs="Times New Roman" w:eastAsiaTheme="minorEastAsia"/>
                <w:color w:val="auto"/>
                <w:kern w:val="0"/>
                <w:sz w:val="18"/>
                <w:szCs w:val="18"/>
                <w:highlight w:val="none"/>
              </w:rPr>
              <w:t>《城镇燃气管理条例》第四十五条第二款：“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p w14:paraId="635D7021">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2.《东莞市燃气管理办法》第五十一条第二款：“违反本办法第十九条规定，燃气经营企业不按照燃气经营许可证的规定从事燃气经营活动，由燃气行政主管部门根据《城镇燃气管理条例》第四十五条第二款规定进行处罚。”</w:t>
            </w:r>
          </w:p>
        </w:tc>
        <w:tc>
          <w:tcPr>
            <w:tcW w:w="177" w:type="pct"/>
            <w:gridSpan w:val="2"/>
            <w:shd w:val="clear" w:color="auto" w:fill="auto"/>
            <w:tcMar>
              <w:top w:w="15" w:type="dxa"/>
              <w:left w:w="15" w:type="dxa"/>
              <w:right w:w="15" w:type="dxa"/>
            </w:tcMar>
            <w:vAlign w:val="center"/>
          </w:tcPr>
          <w:p w14:paraId="23D27F99">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3E98081F">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燃气经营者不按照燃气经营许可证的规定经营时间1个月</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lang w:val="en-US" w:eastAsia="zh-CN"/>
              </w:rPr>
              <w:t>；</w:t>
            </w:r>
          </w:p>
          <w:p w14:paraId="61611389">
            <w:pPr>
              <w:widowControl/>
              <w:shd w:val="clear"/>
              <w:jc w:val="left"/>
              <w:textAlignment w:val="center"/>
              <w:rPr>
                <w:rFonts w:hint="eastAsia" w:ascii="Times New Roman" w:hAnsi="Times New Roman" w:cs="Times New Roman"/>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经营气量</w:t>
            </w:r>
            <w:r>
              <w:rPr>
                <w:rFonts w:hint="eastAsia" w:ascii="Times New Roman" w:hAnsi="Times New Roman" w:cs="Times New Roman"/>
                <w:color w:val="auto"/>
                <w:kern w:val="0"/>
                <w:sz w:val="18"/>
                <w:szCs w:val="18"/>
                <w:highlight w:val="none"/>
                <w:lang w:val="en-US" w:eastAsia="zh-CN"/>
              </w:rPr>
              <w:t>150立方米</w:t>
            </w:r>
            <w:r>
              <w:rPr>
                <w:rFonts w:hint="default" w:ascii="Times New Roman" w:hAnsi="Times New Roman" w:cs="Times New Roman" w:eastAsiaTheme="minorEastAsia"/>
                <w:color w:val="auto"/>
                <w:kern w:val="0"/>
                <w:sz w:val="18"/>
                <w:szCs w:val="18"/>
                <w:highlight w:val="none"/>
                <w:lang w:eastAsia="zh-CN"/>
              </w:rPr>
              <w:t>以下</w:t>
            </w:r>
            <w:r>
              <w:rPr>
                <w:rFonts w:hint="eastAsia" w:ascii="Times New Roman" w:hAnsi="Times New Roman" w:cs="Times New Roman"/>
                <w:color w:val="auto"/>
                <w:kern w:val="0"/>
                <w:sz w:val="18"/>
                <w:szCs w:val="18"/>
                <w:highlight w:val="none"/>
                <w:lang w:eastAsia="zh-CN"/>
              </w:rPr>
              <w:t>（天然气）；</w:t>
            </w:r>
          </w:p>
          <w:p w14:paraId="29CB35E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经营气量</w:t>
            </w:r>
            <w:r>
              <w:rPr>
                <w:rFonts w:hint="eastAsia" w:ascii="Times New Roman" w:hAnsi="Times New Roman" w:cs="Times New Roman"/>
                <w:color w:val="auto"/>
                <w:kern w:val="0"/>
                <w:sz w:val="18"/>
                <w:szCs w:val="18"/>
                <w:highlight w:val="none"/>
                <w:lang w:val="en-US" w:eastAsia="zh-CN"/>
              </w:rPr>
              <w:t>100瓶以下（液化石油气）</w:t>
            </w:r>
          </w:p>
        </w:tc>
        <w:tc>
          <w:tcPr>
            <w:tcW w:w="545" w:type="pct"/>
            <w:gridSpan w:val="2"/>
            <w:shd w:val="clear" w:color="auto" w:fill="auto"/>
            <w:tcMar>
              <w:top w:w="15" w:type="dxa"/>
              <w:left w:w="15" w:type="dxa"/>
              <w:right w:w="15" w:type="dxa"/>
            </w:tcMar>
            <w:vAlign w:val="center"/>
          </w:tcPr>
          <w:p w14:paraId="2C4B08E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8.1</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元以下罚款；有违法所得的，没收违法所得；情节严重的，吊销燃气经营许可证；</w:t>
            </w:r>
          </w:p>
        </w:tc>
        <w:tc>
          <w:tcPr>
            <w:tcW w:w="260" w:type="pct"/>
            <w:gridSpan w:val="3"/>
            <w:vMerge w:val="restart"/>
            <w:shd w:val="clear" w:color="auto" w:fill="auto"/>
            <w:tcMar>
              <w:top w:w="15" w:type="dxa"/>
              <w:left w:w="15" w:type="dxa"/>
              <w:right w:w="15" w:type="dxa"/>
            </w:tcMar>
            <w:vAlign w:val="center"/>
          </w:tcPr>
          <w:p w14:paraId="377F5FA3">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责令限期改正；构成犯罪的，依法追究刑事责任</w:t>
            </w:r>
          </w:p>
          <w:p w14:paraId="224FB9F1">
            <w:pPr>
              <w:widowControl/>
              <w:shd w:val="clear"/>
              <w:jc w:val="left"/>
              <w:textAlignment w:val="center"/>
              <w:rPr>
                <w:rFonts w:hint="default" w:ascii="Times New Roman" w:hAnsi="Times New Roman" w:cs="Times New Roman" w:eastAsiaTheme="minorEastAsia"/>
                <w:color w:val="auto"/>
                <w:sz w:val="18"/>
                <w:szCs w:val="18"/>
                <w:highlight w:val="none"/>
              </w:rPr>
            </w:pPr>
          </w:p>
          <w:p w14:paraId="297AB70E">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4C88D7E4">
            <w:pPr>
              <w:shd w:val="clear"/>
              <w:jc w:val="left"/>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strike w:val="0"/>
                <w:color w:val="auto"/>
                <w:sz w:val="18"/>
                <w:szCs w:val="18"/>
                <w:highlight w:val="none"/>
                <w:lang w:val="en-US" w:eastAsia="zh-CN"/>
              </w:rPr>
              <w:t>此处气瓶为15公斤规格，其它规格请折算适用</w:t>
            </w:r>
          </w:p>
        </w:tc>
      </w:tr>
      <w:tr w14:paraId="3AFA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309" w:hRule="atLeast"/>
        </w:trPr>
        <w:tc>
          <w:tcPr>
            <w:tcW w:w="116" w:type="pct"/>
            <w:vMerge w:val="continue"/>
            <w:shd w:val="clear" w:color="auto" w:fill="auto"/>
            <w:tcMar>
              <w:top w:w="15" w:type="dxa"/>
              <w:left w:w="15" w:type="dxa"/>
              <w:right w:w="15" w:type="dxa"/>
            </w:tcMar>
            <w:vAlign w:val="center"/>
          </w:tcPr>
          <w:p w14:paraId="5B7A0A00">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5950ABA7">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468D78A8">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0728804C">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3740920E">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0F8B8F3E">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燃气经营者不按照燃气经营许可证的规定经营时间1个月</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2个月</w:t>
            </w:r>
            <w:r>
              <w:rPr>
                <w:rFonts w:hint="default" w:ascii="Times New Roman" w:hAnsi="Times New Roman" w:cs="Times New Roman" w:eastAsiaTheme="minorEastAsia"/>
                <w:color w:val="auto"/>
                <w:kern w:val="0"/>
                <w:sz w:val="18"/>
                <w:szCs w:val="18"/>
                <w:highlight w:val="none"/>
                <w:lang w:eastAsia="zh-CN"/>
              </w:rPr>
              <w:t>以下；</w:t>
            </w:r>
          </w:p>
          <w:p w14:paraId="395CD276">
            <w:pPr>
              <w:widowControl/>
              <w:shd w:val="clear"/>
              <w:jc w:val="left"/>
              <w:textAlignment w:val="center"/>
              <w:rPr>
                <w:rFonts w:hint="eastAsia" w:ascii="Times New Roman" w:hAnsi="Times New Roman" w:cs="Times New Roman"/>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经营气量</w:t>
            </w:r>
            <w:r>
              <w:rPr>
                <w:rFonts w:hint="eastAsia" w:ascii="Times New Roman" w:hAnsi="Times New Roman" w:cs="Times New Roman"/>
                <w:color w:val="auto"/>
                <w:kern w:val="0"/>
                <w:sz w:val="18"/>
                <w:szCs w:val="18"/>
                <w:highlight w:val="none"/>
                <w:lang w:val="en-US" w:eastAsia="zh-CN"/>
              </w:rPr>
              <w:t>150立方米</w:t>
            </w:r>
            <w:r>
              <w:rPr>
                <w:rFonts w:hint="eastAsia" w:ascii="Times New Roman" w:hAnsi="Times New Roman" w:cs="Times New Roman"/>
                <w:color w:val="auto"/>
                <w:kern w:val="0"/>
                <w:sz w:val="18"/>
                <w:szCs w:val="18"/>
                <w:highlight w:val="none"/>
                <w:lang w:eastAsia="zh-CN"/>
              </w:rPr>
              <w:t>以上</w:t>
            </w:r>
            <w:r>
              <w:rPr>
                <w:rFonts w:hint="eastAsia" w:ascii="Times New Roman" w:hAnsi="Times New Roman" w:cs="Times New Roman"/>
                <w:color w:val="auto"/>
                <w:kern w:val="0"/>
                <w:sz w:val="18"/>
                <w:szCs w:val="18"/>
                <w:highlight w:val="none"/>
                <w:lang w:val="en-US" w:eastAsia="zh-CN"/>
              </w:rPr>
              <w:t>300立方米以下</w:t>
            </w:r>
            <w:r>
              <w:rPr>
                <w:rFonts w:hint="eastAsia" w:ascii="Times New Roman" w:hAnsi="Times New Roman" w:cs="Times New Roman"/>
                <w:color w:val="auto"/>
                <w:kern w:val="0"/>
                <w:sz w:val="18"/>
                <w:szCs w:val="18"/>
                <w:highlight w:val="none"/>
                <w:lang w:eastAsia="zh-CN"/>
              </w:rPr>
              <w:t>（天然气）；</w:t>
            </w:r>
          </w:p>
          <w:p w14:paraId="4BF74BA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经营气量</w:t>
            </w:r>
            <w:r>
              <w:rPr>
                <w:rFonts w:hint="eastAsia" w:ascii="Times New Roman" w:hAnsi="Times New Roman" w:cs="Times New Roman"/>
                <w:color w:val="auto"/>
                <w:kern w:val="0"/>
                <w:sz w:val="18"/>
                <w:szCs w:val="18"/>
                <w:highlight w:val="none"/>
                <w:lang w:val="en-US" w:eastAsia="zh-CN"/>
              </w:rPr>
              <w:t>100瓶以上250瓶以下（液化石油气）</w:t>
            </w:r>
          </w:p>
        </w:tc>
        <w:tc>
          <w:tcPr>
            <w:tcW w:w="545" w:type="pct"/>
            <w:gridSpan w:val="2"/>
            <w:shd w:val="clear" w:color="auto" w:fill="auto"/>
            <w:tcMar>
              <w:top w:w="15" w:type="dxa"/>
              <w:left w:w="15" w:type="dxa"/>
              <w:right w:w="15" w:type="dxa"/>
            </w:tcMar>
            <w:vAlign w:val="center"/>
          </w:tcPr>
          <w:p w14:paraId="32A99DA6">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8.1</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14.9</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元以下罚款；有违法所得的，没收违法所得；情节严重的，吊销燃气经营许可证；</w:t>
            </w:r>
          </w:p>
        </w:tc>
        <w:tc>
          <w:tcPr>
            <w:tcW w:w="260" w:type="pct"/>
            <w:gridSpan w:val="3"/>
            <w:vMerge w:val="continue"/>
            <w:shd w:val="clear" w:color="auto" w:fill="auto"/>
            <w:tcMar>
              <w:top w:w="15" w:type="dxa"/>
              <w:left w:w="15" w:type="dxa"/>
              <w:right w:w="15" w:type="dxa"/>
            </w:tcMar>
            <w:vAlign w:val="center"/>
          </w:tcPr>
          <w:p w14:paraId="0A3372C7">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2C359114">
            <w:pPr>
              <w:shd w:val="clear"/>
              <w:jc w:val="left"/>
              <w:rPr>
                <w:rFonts w:hint="default" w:ascii="Times New Roman" w:hAnsi="Times New Roman" w:cs="Times New Roman" w:eastAsiaTheme="minorEastAsia"/>
                <w:color w:val="auto"/>
                <w:sz w:val="18"/>
                <w:szCs w:val="18"/>
                <w:highlight w:val="none"/>
              </w:rPr>
            </w:pPr>
          </w:p>
        </w:tc>
      </w:tr>
      <w:tr w14:paraId="7FAF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485" w:hRule="atLeast"/>
        </w:trPr>
        <w:tc>
          <w:tcPr>
            <w:tcW w:w="116" w:type="pct"/>
            <w:vMerge w:val="continue"/>
            <w:shd w:val="clear" w:color="auto" w:fill="auto"/>
            <w:tcMar>
              <w:top w:w="15" w:type="dxa"/>
              <w:left w:w="15" w:type="dxa"/>
              <w:right w:w="15" w:type="dxa"/>
            </w:tcMar>
            <w:vAlign w:val="center"/>
          </w:tcPr>
          <w:p w14:paraId="240EAC7E">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2F777865">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2560EE36">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23E05D59">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0294D9A8">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29FC3188">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燃气经营者不按照燃气经营许可证的规定经营时间2个月</w:t>
            </w:r>
            <w:r>
              <w:rPr>
                <w:rFonts w:hint="default" w:ascii="Times New Roman" w:hAnsi="Times New Roman" w:cs="Times New Roman" w:eastAsiaTheme="minorEastAsia"/>
                <w:color w:val="auto"/>
                <w:kern w:val="0"/>
                <w:sz w:val="18"/>
                <w:szCs w:val="18"/>
                <w:highlight w:val="none"/>
                <w:lang w:eastAsia="zh-CN"/>
              </w:rPr>
              <w:t>以上；</w:t>
            </w:r>
          </w:p>
          <w:p w14:paraId="323F6D4C">
            <w:pPr>
              <w:widowControl/>
              <w:shd w:val="clear"/>
              <w:jc w:val="left"/>
              <w:textAlignment w:val="center"/>
              <w:rPr>
                <w:rFonts w:hint="eastAsia" w:ascii="Times New Roman" w:hAnsi="Times New Roman" w:cs="Times New Roman"/>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经营气量</w:t>
            </w:r>
            <w:r>
              <w:rPr>
                <w:rFonts w:hint="eastAsia" w:ascii="Times New Roman" w:hAnsi="Times New Roman" w:cs="Times New Roman"/>
                <w:color w:val="auto"/>
                <w:kern w:val="0"/>
                <w:sz w:val="18"/>
                <w:szCs w:val="18"/>
                <w:highlight w:val="none"/>
                <w:lang w:val="en-US" w:eastAsia="zh-CN"/>
              </w:rPr>
              <w:t>300立方米</w:t>
            </w:r>
            <w:r>
              <w:rPr>
                <w:rFonts w:hint="eastAsia" w:ascii="Times New Roman" w:hAnsi="Times New Roman" w:cs="Times New Roman"/>
                <w:color w:val="auto"/>
                <w:kern w:val="0"/>
                <w:sz w:val="18"/>
                <w:szCs w:val="18"/>
                <w:highlight w:val="none"/>
                <w:lang w:eastAsia="zh-CN"/>
              </w:rPr>
              <w:t>以上（天然气）；</w:t>
            </w:r>
          </w:p>
          <w:p w14:paraId="29AE4CE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经营气量</w:t>
            </w:r>
            <w:r>
              <w:rPr>
                <w:rFonts w:hint="eastAsia" w:ascii="Times New Roman" w:hAnsi="Times New Roman" w:cs="Times New Roman"/>
                <w:color w:val="auto"/>
                <w:kern w:val="0"/>
                <w:sz w:val="18"/>
                <w:szCs w:val="18"/>
                <w:highlight w:val="none"/>
                <w:lang w:val="en-US" w:eastAsia="zh-CN"/>
              </w:rPr>
              <w:t>250瓶以上（液化石油气）</w:t>
            </w:r>
          </w:p>
        </w:tc>
        <w:tc>
          <w:tcPr>
            <w:tcW w:w="545" w:type="pct"/>
            <w:gridSpan w:val="2"/>
            <w:shd w:val="clear" w:color="auto" w:fill="auto"/>
            <w:tcMar>
              <w:top w:w="15" w:type="dxa"/>
              <w:left w:w="15" w:type="dxa"/>
              <w:right w:w="15" w:type="dxa"/>
            </w:tcMar>
            <w:vAlign w:val="center"/>
          </w:tcPr>
          <w:p w14:paraId="7B05790A">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14.9</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20万</w:t>
            </w:r>
            <w:r>
              <w:rPr>
                <w:rFonts w:hint="default" w:ascii="Times New Roman" w:hAnsi="Times New Roman" w:cs="Times New Roman" w:eastAsiaTheme="minorEastAsia"/>
                <w:color w:val="auto"/>
                <w:kern w:val="0"/>
                <w:sz w:val="18"/>
                <w:szCs w:val="18"/>
                <w:highlight w:val="none"/>
              </w:rPr>
              <w:t>元以下罚款；有违法所得的，没收违法所得；</w:t>
            </w:r>
            <w:r>
              <w:rPr>
                <w:rFonts w:hint="default" w:ascii="Times New Roman" w:hAnsi="Times New Roman" w:cs="Times New Roman" w:eastAsiaTheme="minorEastAsia"/>
                <w:color w:val="auto"/>
                <w:kern w:val="0"/>
                <w:sz w:val="18"/>
                <w:szCs w:val="18"/>
                <w:highlight w:val="none"/>
                <w:lang w:eastAsia="zh-CN"/>
              </w:rPr>
              <w:t>情节严重的，</w:t>
            </w:r>
            <w:r>
              <w:rPr>
                <w:rFonts w:hint="default" w:ascii="Times New Roman" w:hAnsi="Times New Roman" w:cs="Times New Roman" w:eastAsiaTheme="minorEastAsia"/>
                <w:color w:val="auto"/>
                <w:kern w:val="0"/>
                <w:sz w:val="18"/>
                <w:szCs w:val="18"/>
                <w:highlight w:val="none"/>
              </w:rPr>
              <w:t>吊销燃气经营许可证</w:t>
            </w:r>
          </w:p>
        </w:tc>
        <w:tc>
          <w:tcPr>
            <w:tcW w:w="260" w:type="pct"/>
            <w:gridSpan w:val="3"/>
            <w:vMerge w:val="continue"/>
            <w:shd w:val="clear" w:color="auto" w:fill="auto"/>
            <w:tcMar>
              <w:top w:w="15" w:type="dxa"/>
              <w:left w:w="15" w:type="dxa"/>
              <w:right w:w="15" w:type="dxa"/>
            </w:tcMar>
            <w:vAlign w:val="center"/>
          </w:tcPr>
          <w:p w14:paraId="0B1C13B9">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021FA954">
            <w:pPr>
              <w:shd w:val="clear"/>
              <w:jc w:val="left"/>
              <w:rPr>
                <w:rFonts w:hint="default" w:ascii="Times New Roman" w:hAnsi="Times New Roman" w:cs="Times New Roman" w:eastAsiaTheme="minorEastAsia"/>
                <w:color w:val="auto"/>
                <w:sz w:val="18"/>
                <w:szCs w:val="18"/>
                <w:highlight w:val="none"/>
              </w:rPr>
            </w:pPr>
          </w:p>
        </w:tc>
      </w:tr>
      <w:tr w14:paraId="49E0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03" w:hRule="atLeast"/>
        </w:trPr>
        <w:tc>
          <w:tcPr>
            <w:tcW w:w="116" w:type="pct"/>
            <w:vMerge w:val="restart"/>
            <w:shd w:val="clear" w:color="auto" w:fill="auto"/>
            <w:tcMar>
              <w:top w:w="15" w:type="dxa"/>
              <w:left w:w="15" w:type="dxa"/>
              <w:right w:w="15" w:type="dxa"/>
            </w:tcMar>
            <w:vAlign w:val="center"/>
          </w:tcPr>
          <w:p w14:paraId="3490279D">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121</w:t>
            </w:r>
          </w:p>
        </w:tc>
        <w:tc>
          <w:tcPr>
            <w:tcW w:w="411" w:type="pct"/>
            <w:gridSpan w:val="2"/>
            <w:vMerge w:val="restart"/>
            <w:shd w:val="clear" w:color="auto" w:fill="auto"/>
            <w:tcMar>
              <w:top w:w="15" w:type="dxa"/>
              <w:left w:w="15" w:type="dxa"/>
              <w:right w:w="15" w:type="dxa"/>
            </w:tcMar>
            <w:vAlign w:val="center"/>
          </w:tcPr>
          <w:p w14:paraId="5369AD71">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燃气经营者未向燃气用户持续、稳定、安全供应符合国家质量标准的燃气，或者未对燃气用户的燃气设施定期进行安全检查</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74F99F2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《城镇燃气管理条例》第十七条第一款：“燃气经营者应当向燃气用户持续、稳定、安全供应符合国家质量标准的燃气，指导燃气用户安全用气、节约用气，并对燃气设施定期进行安全检查。”</w:t>
            </w:r>
          </w:p>
        </w:tc>
        <w:tc>
          <w:tcPr>
            <w:tcW w:w="1314" w:type="pct"/>
            <w:gridSpan w:val="2"/>
            <w:vMerge w:val="restart"/>
            <w:shd w:val="clear" w:color="auto" w:fill="auto"/>
            <w:tcMar>
              <w:top w:w="15" w:type="dxa"/>
              <w:left w:w="15" w:type="dxa"/>
              <w:right w:w="15" w:type="dxa"/>
            </w:tcMar>
            <w:vAlign w:val="center"/>
          </w:tcPr>
          <w:p w14:paraId="0CEB2DA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《城镇燃气管理条例》第四十六条</w:t>
            </w:r>
            <w:r>
              <w:rPr>
                <w:rFonts w:hint="default" w:ascii="Times New Roman" w:hAnsi="Times New Roman" w:cs="Times New Roman" w:eastAsiaTheme="minorEastAsia"/>
                <w:color w:val="auto"/>
                <w:kern w:val="0"/>
                <w:sz w:val="18"/>
                <w:szCs w:val="18"/>
                <w:highlight w:val="none"/>
                <w:lang w:eastAsia="zh-CN"/>
              </w:rPr>
              <w:t>第七项</w:t>
            </w:r>
            <w:r>
              <w:rPr>
                <w:rFonts w:hint="default" w:ascii="Times New Roman" w:hAnsi="Times New Roman" w:cs="Times New Roman" w:eastAsiaTheme="minorEastAsia"/>
                <w:color w:val="auto"/>
                <w:kern w:val="0"/>
                <w:sz w:val="18"/>
                <w:szCs w:val="18"/>
                <w:highlight w:val="none"/>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七）燃气经营者未向燃气用户持续、稳定、安全供应符合国家质量标准的燃气，或者未对燃气用户的燃气设施定期进行安全检查。”</w:t>
            </w:r>
          </w:p>
        </w:tc>
        <w:tc>
          <w:tcPr>
            <w:tcW w:w="177" w:type="pct"/>
            <w:gridSpan w:val="2"/>
            <w:shd w:val="clear" w:color="auto" w:fill="auto"/>
            <w:tcMar>
              <w:top w:w="15" w:type="dxa"/>
              <w:left w:w="15" w:type="dxa"/>
              <w:right w:w="15" w:type="dxa"/>
            </w:tcMar>
            <w:vAlign w:val="center"/>
          </w:tcPr>
          <w:p w14:paraId="6BEFB5A5">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5B18F400">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未持续、稳定、安全供应符合国家质量标准的燃气5天</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lang w:val="en-US" w:eastAsia="zh-CN"/>
              </w:rPr>
              <w:t>;</w:t>
            </w:r>
          </w:p>
          <w:p w14:paraId="01A51B0C">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抽查发现</w:t>
            </w:r>
            <w:r>
              <w:rPr>
                <w:rFonts w:hint="eastAsia" w:ascii="Times New Roman" w:hAnsi="Times New Roman" w:cs="Times New Roman"/>
                <w:color w:val="auto"/>
                <w:kern w:val="0"/>
                <w:sz w:val="18"/>
                <w:szCs w:val="18"/>
                <w:highlight w:val="none"/>
                <w:lang w:eastAsia="zh-CN"/>
              </w:rPr>
              <w:t>未</w:t>
            </w:r>
            <w:r>
              <w:rPr>
                <w:rFonts w:hint="default" w:ascii="Times New Roman" w:hAnsi="Times New Roman" w:cs="Times New Roman" w:eastAsiaTheme="minorEastAsia"/>
                <w:color w:val="auto"/>
                <w:kern w:val="0"/>
                <w:sz w:val="18"/>
                <w:szCs w:val="18"/>
                <w:highlight w:val="none"/>
              </w:rPr>
              <w:t>安全检查</w:t>
            </w:r>
            <w:r>
              <w:rPr>
                <w:rFonts w:hint="eastAsia" w:ascii="Times New Roman" w:hAnsi="Times New Roman" w:cs="Times New Roman"/>
                <w:color w:val="auto"/>
                <w:kern w:val="0"/>
                <w:sz w:val="18"/>
                <w:szCs w:val="18"/>
                <w:highlight w:val="none"/>
                <w:lang w:eastAsia="zh-CN"/>
              </w:rPr>
              <w:t>燃气用户</w:t>
            </w:r>
            <w:r>
              <w:rPr>
                <w:rFonts w:hint="default" w:ascii="Times New Roman" w:hAnsi="Times New Roman" w:cs="Times New Roman"/>
                <w:color w:val="auto"/>
                <w:kern w:val="0"/>
                <w:sz w:val="18"/>
                <w:szCs w:val="18"/>
                <w:highlight w:val="none"/>
                <w:lang w:val="en" w:eastAsia="zh-CN"/>
              </w:rPr>
              <w:t>4</w:t>
            </w:r>
            <w:r>
              <w:rPr>
                <w:rFonts w:hint="default" w:ascii="Times New Roman" w:hAnsi="Times New Roman" w:cs="Times New Roman" w:eastAsiaTheme="minorEastAsia"/>
                <w:color w:val="auto"/>
                <w:kern w:val="0"/>
                <w:sz w:val="18"/>
                <w:szCs w:val="18"/>
                <w:highlight w:val="none"/>
                <w:lang w:val="en-US" w:eastAsia="zh-CN"/>
              </w:rPr>
              <w:t>户以下</w:t>
            </w:r>
          </w:p>
        </w:tc>
        <w:tc>
          <w:tcPr>
            <w:tcW w:w="545" w:type="pct"/>
            <w:gridSpan w:val="2"/>
            <w:shd w:val="clear" w:color="auto" w:fill="auto"/>
            <w:tcMar>
              <w:top w:w="15" w:type="dxa"/>
              <w:left w:w="15" w:type="dxa"/>
              <w:right w:w="15" w:type="dxa"/>
            </w:tcMar>
            <w:vAlign w:val="center"/>
          </w:tcPr>
          <w:p w14:paraId="0E485D5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rPr>
              <w:t>1万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3.7</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元以下罚款；有违法所得的，没收违法所得；情节严重的，吊销燃气经营许可证</w:t>
            </w:r>
          </w:p>
        </w:tc>
        <w:tc>
          <w:tcPr>
            <w:tcW w:w="260" w:type="pct"/>
            <w:gridSpan w:val="3"/>
            <w:vMerge w:val="restart"/>
            <w:shd w:val="clear" w:color="auto" w:fill="auto"/>
            <w:tcMar>
              <w:top w:w="15" w:type="dxa"/>
              <w:left w:w="15" w:type="dxa"/>
              <w:right w:w="15" w:type="dxa"/>
            </w:tcMar>
            <w:vAlign w:val="center"/>
          </w:tcPr>
          <w:p w14:paraId="3597EE5A">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责令限期改正；构成犯罪的，依法追究刑事责任</w:t>
            </w:r>
          </w:p>
          <w:p w14:paraId="4CA2B454">
            <w:pPr>
              <w:widowControl/>
              <w:shd w:val="clear"/>
              <w:jc w:val="left"/>
              <w:textAlignment w:val="center"/>
              <w:rPr>
                <w:rFonts w:hint="default" w:ascii="Times New Roman" w:hAnsi="Times New Roman" w:cs="Times New Roman" w:eastAsiaTheme="minorEastAsia"/>
                <w:color w:val="auto"/>
                <w:sz w:val="18"/>
                <w:szCs w:val="18"/>
                <w:highlight w:val="none"/>
              </w:rPr>
            </w:pPr>
          </w:p>
          <w:p w14:paraId="1607732E">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66CA2C41">
            <w:pPr>
              <w:shd w:val="clear"/>
              <w:jc w:val="left"/>
              <w:rPr>
                <w:rFonts w:hint="default" w:ascii="Times New Roman" w:hAnsi="Times New Roman" w:cs="Times New Roman" w:eastAsiaTheme="minorEastAsia"/>
                <w:color w:val="auto"/>
                <w:sz w:val="18"/>
                <w:szCs w:val="18"/>
                <w:highlight w:val="none"/>
                <w:lang w:val="en-US" w:eastAsia="zh-CN"/>
              </w:rPr>
            </w:pPr>
          </w:p>
        </w:tc>
      </w:tr>
      <w:tr w14:paraId="4EB8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463" w:hRule="atLeast"/>
        </w:trPr>
        <w:tc>
          <w:tcPr>
            <w:tcW w:w="116" w:type="pct"/>
            <w:vMerge w:val="continue"/>
            <w:shd w:val="clear" w:color="auto" w:fill="auto"/>
            <w:tcMar>
              <w:top w:w="15" w:type="dxa"/>
              <w:left w:w="15" w:type="dxa"/>
              <w:right w:w="15" w:type="dxa"/>
            </w:tcMar>
            <w:vAlign w:val="center"/>
          </w:tcPr>
          <w:p w14:paraId="6D58FDBA">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0DC00676">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2F3A555B">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5FF9591A">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4EC40A7D">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76A5464E">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未持续、稳定、安全供应符合国家质量标准的燃气5天</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10天</w:t>
            </w:r>
            <w:r>
              <w:rPr>
                <w:rFonts w:hint="default" w:ascii="Times New Roman" w:hAnsi="Times New Roman" w:cs="Times New Roman" w:eastAsiaTheme="minorEastAsia"/>
                <w:color w:val="auto"/>
                <w:kern w:val="0"/>
                <w:sz w:val="18"/>
                <w:szCs w:val="18"/>
                <w:highlight w:val="none"/>
                <w:lang w:eastAsia="zh-CN"/>
              </w:rPr>
              <w:t>以下；</w:t>
            </w:r>
          </w:p>
          <w:p w14:paraId="38BCEA8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抽查发现</w:t>
            </w:r>
            <w:r>
              <w:rPr>
                <w:rFonts w:hint="eastAsia" w:ascii="Times New Roman" w:hAnsi="Times New Roman" w:cs="Times New Roman"/>
                <w:color w:val="auto"/>
                <w:kern w:val="0"/>
                <w:sz w:val="18"/>
                <w:szCs w:val="18"/>
                <w:highlight w:val="none"/>
                <w:lang w:eastAsia="zh-CN"/>
              </w:rPr>
              <w:t>未</w:t>
            </w:r>
            <w:r>
              <w:rPr>
                <w:rFonts w:hint="default" w:ascii="Times New Roman" w:hAnsi="Times New Roman" w:cs="Times New Roman" w:eastAsiaTheme="minorEastAsia"/>
                <w:color w:val="auto"/>
                <w:kern w:val="0"/>
                <w:sz w:val="18"/>
                <w:szCs w:val="18"/>
                <w:highlight w:val="none"/>
              </w:rPr>
              <w:t>安全检查</w:t>
            </w:r>
            <w:r>
              <w:rPr>
                <w:rFonts w:hint="eastAsia" w:ascii="Times New Roman" w:hAnsi="Times New Roman" w:cs="Times New Roman"/>
                <w:color w:val="auto"/>
                <w:kern w:val="0"/>
                <w:sz w:val="18"/>
                <w:szCs w:val="18"/>
                <w:highlight w:val="none"/>
                <w:lang w:eastAsia="zh-CN"/>
              </w:rPr>
              <w:t>燃气用户</w:t>
            </w:r>
            <w:r>
              <w:rPr>
                <w:rFonts w:hint="default" w:ascii="Times New Roman" w:hAnsi="Times New Roman" w:cs="Times New Roman"/>
                <w:color w:val="auto"/>
                <w:kern w:val="0"/>
                <w:sz w:val="18"/>
                <w:szCs w:val="18"/>
                <w:highlight w:val="none"/>
                <w:lang w:val="en" w:eastAsia="zh-CN"/>
              </w:rPr>
              <w:t>4</w:t>
            </w:r>
            <w:r>
              <w:rPr>
                <w:rFonts w:hint="default" w:ascii="Times New Roman" w:hAnsi="Times New Roman" w:cs="Times New Roman" w:eastAsiaTheme="minorEastAsia"/>
                <w:color w:val="auto"/>
                <w:kern w:val="0"/>
                <w:sz w:val="18"/>
                <w:szCs w:val="18"/>
                <w:highlight w:val="none"/>
                <w:lang w:val="en-US" w:eastAsia="zh-CN"/>
              </w:rPr>
              <w:t>户以上8户以下</w:t>
            </w:r>
          </w:p>
        </w:tc>
        <w:tc>
          <w:tcPr>
            <w:tcW w:w="545" w:type="pct"/>
            <w:gridSpan w:val="2"/>
            <w:shd w:val="clear" w:color="auto" w:fill="auto"/>
            <w:tcMar>
              <w:top w:w="15" w:type="dxa"/>
              <w:left w:w="15" w:type="dxa"/>
              <w:right w:w="15" w:type="dxa"/>
            </w:tcMar>
            <w:vAlign w:val="center"/>
          </w:tcPr>
          <w:p w14:paraId="5EFFE42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3.7</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元以下罚款；有违法所得的，没收违法所得；情节严重的，吊销燃气经营许可证</w:t>
            </w:r>
          </w:p>
        </w:tc>
        <w:tc>
          <w:tcPr>
            <w:tcW w:w="260" w:type="pct"/>
            <w:gridSpan w:val="3"/>
            <w:vMerge w:val="continue"/>
            <w:shd w:val="clear" w:color="auto" w:fill="auto"/>
            <w:tcMar>
              <w:top w:w="15" w:type="dxa"/>
              <w:left w:w="15" w:type="dxa"/>
              <w:right w:w="15" w:type="dxa"/>
            </w:tcMar>
            <w:vAlign w:val="center"/>
          </w:tcPr>
          <w:p w14:paraId="4A5A3258">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1AFDC5B2">
            <w:pPr>
              <w:shd w:val="clear"/>
              <w:jc w:val="left"/>
              <w:rPr>
                <w:rFonts w:hint="default" w:ascii="Times New Roman" w:hAnsi="Times New Roman" w:cs="Times New Roman" w:eastAsiaTheme="minorEastAsia"/>
                <w:color w:val="auto"/>
                <w:sz w:val="18"/>
                <w:szCs w:val="18"/>
                <w:highlight w:val="none"/>
              </w:rPr>
            </w:pPr>
          </w:p>
        </w:tc>
      </w:tr>
      <w:tr w14:paraId="2377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03" w:hRule="atLeast"/>
        </w:trPr>
        <w:tc>
          <w:tcPr>
            <w:tcW w:w="116" w:type="pct"/>
            <w:vMerge w:val="continue"/>
            <w:shd w:val="clear" w:color="auto" w:fill="auto"/>
            <w:tcMar>
              <w:top w:w="15" w:type="dxa"/>
              <w:left w:w="15" w:type="dxa"/>
              <w:right w:w="15" w:type="dxa"/>
            </w:tcMar>
            <w:vAlign w:val="center"/>
          </w:tcPr>
          <w:p w14:paraId="7D984E0B">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3A51BB27">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4CFF3D49">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7D822E81">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48CDC255">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04046374">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未持续、稳定、安全供应符合国家质量标准的燃气10天</w:t>
            </w:r>
            <w:r>
              <w:rPr>
                <w:rFonts w:hint="default" w:ascii="Times New Roman" w:hAnsi="Times New Roman" w:cs="Times New Roman" w:eastAsiaTheme="minorEastAsia"/>
                <w:color w:val="auto"/>
                <w:kern w:val="0"/>
                <w:sz w:val="18"/>
                <w:szCs w:val="18"/>
                <w:highlight w:val="none"/>
                <w:lang w:eastAsia="zh-CN"/>
              </w:rPr>
              <w:t>以上；</w:t>
            </w:r>
          </w:p>
          <w:p w14:paraId="6F83A7B9">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抽查发现</w:t>
            </w:r>
            <w:r>
              <w:rPr>
                <w:rFonts w:hint="eastAsia" w:ascii="Times New Roman" w:hAnsi="Times New Roman" w:cs="Times New Roman"/>
                <w:color w:val="auto"/>
                <w:kern w:val="0"/>
                <w:sz w:val="18"/>
                <w:szCs w:val="18"/>
                <w:highlight w:val="none"/>
                <w:lang w:eastAsia="zh-CN"/>
              </w:rPr>
              <w:t>未</w:t>
            </w:r>
            <w:r>
              <w:rPr>
                <w:rFonts w:hint="default" w:ascii="Times New Roman" w:hAnsi="Times New Roman" w:cs="Times New Roman" w:eastAsiaTheme="minorEastAsia"/>
                <w:color w:val="auto"/>
                <w:kern w:val="0"/>
                <w:sz w:val="18"/>
                <w:szCs w:val="18"/>
                <w:highlight w:val="none"/>
              </w:rPr>
              <w:t>安全检查</w:t>
            </w:r>
            <w:r>
              <w:rPr>
                <w:rFonts w:hint="eastAsia" w:ascii="Times New Roman" w:hAnsi="Times New Roman" w:cs="Times New Roman"/>
                <w:color w:val="auto"/>
                <w:kern w:val="0"/>
                <w:sz w:val="18"/>
                <w:szCs w:val="18"/>
                <w:highlight w:val="none"/>
                <w:lang w:eastAsia="zh-CN"/>
              </w:rPr>
              <w:t>燃气用户</w:t>
            </w:r>
            <w:r>
              <w:rPr>
                <w:rFonts w:hint="eastAsia" w:ascii="Times New Roman" w:hAnsi="Times New Roman" w:cs="Times New Roman"/>
                <w:color w:val="auto"/>
                <w:kern w:val="0"/>
                <w:sz w:val="18"/>
                <w:szCs w:val="18"/>
                <w:highlight w:val="none"/>
                <w:lang w:val="en-US" w:eastAsia="zh-CN"/>
              </w:rPr>
              <w:t>8户以上</w:t>
            </w:r>
          </w:p>
        </w:tc>
        <w:tc>
          <w:tcPr>
            <w:tcW w:w="545" w:type="pct"/>
            <w:gridSpan w:val="2"/>
            <w:shd w:val="clear" w:color="auto" w:fill="auto"/>
            <w:tcMar>
              <w:top w:w="15" w:type="dxa"/>
              <w:left w:w="15" w:type="dxa"/>
              <w:right w:w="15" w:type="dxa"/>
            </w:tcMar>
            <w:vAlign w:val="center"/>
          </w:tcPr>
          <w:p w14:paraId="1B3A3AA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7.3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元以下罚款；有违法所得的，没收违法所得；</w:t>
            </w:r>
            <w:r>
              <w:rPr>
                <w:rFonts w:hint="default" w:ascii="Times New Roman" w:hAnsi="Times New Roman" w:cs="Times New Roman" w:eastAsiaTheme="minorEastAsia"/>
                <w:color w:val="auto"/>
                <w:kern w:val="0"/>
                <w:sz w:val="18"/>
                <w:szCs w:val="18"/>
                <w:highlight w:val="none"/>
                <w:lang w:eastAsia="zh-CN"/>
              </w:rPr>
              <w:t>情节严重的，</w:t>
            </w:r>
            <w:r>
              <w:rPr>
                <w:rFonts w:hint="default" w:ascii="Times New Roman" w:hAnsi="Times New Roman" w:cs="Times New Roman" w:eastAsiaTheme="minorEastAsia"/>
                <w:color w:val="auto"/>
                <w:kern w:val="0"/>
                <w:sz w:val="18"/>
                <w:szCs w:val="18"/>
                <w:highlight w:val="none"/>
              </w:rPr>
              <w:t>吊销燃气经营许可证</w:t>
            </w:r>
          </w:p>
        </w:tc>
        <w:tc>
          <w:tcPr>
            <w:tcW w:w="260" w:type="pct"/>
            <w:gridSpan w:val="3"/>
            <w:vMerge w:val="continue"/>
            <w:shd w:val="clear" w:color="auto" w:fill="auto"/>
            <w:tcMar>
              <w:top w:w="15" w:type="dxa"/>
              <w:left w:w="15" w:type="dxa"/>
              <w:right w:w="15" w:type="dxa"/>
            </w:tcMar>
            <w:vAlign w:val="center"/>
          </w:tcPr>
          <w:p w14:paraId="7454C377">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43058B77">
            <w:pPr>
              <w:shd w:val="clear"/>
              <w:jc w:val="left"/>
              <w:rPr>
                <w:rFonts w:hint="default" w:ascii="Times New Roman" w:hAnsi="Times New Roman" w:cs="Times New Roman" w:eastAsiaTheme="minorEastAsia"/>
                <w:color w:val="auto"/>
                <w:sz w:val="18"/>
                <w:szCs w:val="18"/>
                <w:highlight w:val="none"/>
              </w:rPr>
            </w:pPr>
          </w:p>
        </w:tc>
      </w:tr>
      <w:tr w14:paraId="2E0D6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40" w:hRule="atLeast"/>
        </w:trPr>
        <w:tc>
          <w:tcPr>
            <w:tcW w:w="116" w:type="pct"/>
            <w:vMerge w:val="restart"/>
            <w:shd w:val="clear" w:color="auto" w:fill="auto"/>
            <w:tcMar>
              <w:top w:w="15" w:type="dxa"/>
              <w:left w:w="15" w:type="dxa"/>
              <w:right w:w="15" w:type="dxa"/>
            </w:tcMar>
            <w:vAlign w:val="center"/>
          </w:tcPr>
          <w:p w14:paraId="2360E523">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122</w:t>
            </w:r>
          </w:p>
        </w:tc>
        <w:tc>
          <w:tcPr>
            <w:tcW w:w="411" w:type="pct"/>
            <w:gridSpan w:val="2"/>
            <w:vMerge w:val="restart"/>
            <w:shd w:val="clear" w:color="auto" w:fill="auto"/>
            <w:tcMar>
              <w:top w:w="15" w:type="dxa"/>
              <w:left w:w="15" w:type="dxa"/>
              <w:right w:w="15" w:type="dxa"/>
            </w:tcMar>
            <w:vAlign w:val="center"/>
          </w:tcPr>
          <w:p w14:paraId="7F49AFB9">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燃气经营者拒绝向市政燃气管网覆盖范围内具备用气条件的燃气用户供气</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172DE7B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《城镇燃气管理条例》第十八条</w:t>
            </w:r>
            <w:r>
              <w:rPr>
                <w:rFonts w:hint="default" w:ascii="Times New Roman" w:hAnsi="Times New Roman" w:cs="Times New Roman" w:eastAsiaTheme="minorEastAsia"/>
                <w:color w:val="auto"/>
                <w:kern w:val="0"/>
                <w:sz w:val="18"/>
                <w:szCs w:val="18"/>
                <w:highlight w:val="none"/>
                <w:lang w:eastAsia="zh-CN"/>
              </w:rPr>
              <w:t>第一项</w:t>
            </w:r>
            <w:r>
              <w:rPr>
                <w:rFonts w:hint="default" w:ascii="Times New Roman" w:hAnsi="Times New Roman" w:cs="Times New Roman" w:eastAsiaTheme="minorEastAsia"/>
                <w:color w:val="auto"/>
                <w:kern w:val="0"/>
                <w:sz w:val="18"/>
                <w:szCs w:val="18"/>
                <w:highlight w:val="none"/>
              </w:rPr>
              <w:t>：“燃气经营者不得有下列行为：（一）拒绝向市政燃气管网覆盖范围内符合用气条件的单位或者个人供气；”</w:t>
            </w:r>
          </w:p>
        </w:tc>
        <w:tc>
          <w:tcPr>
            <w:tcW w:w="1314" w:type="pct"/>
            <w:gridSpan w:val="2"/>
            <w:vMerge w:val="restart"/>
            <w:shd w:val="clear" w:color="auto" w:fill="auto"/>
            <w:tcMar>
              <w:top w:w="15" w:type="dxa"/>
              <w:left w:w="15" w:type="dxa"/>
              <w:right w:w="15" w:type="dxa"/>
            </w:tcMar>
            <w:vAlign w:val="center"/>
          </w:tcPr>
          <w:p w14:paraId="7D0524F9">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《城镇燃气管理条例》第四十六条</w:t>
            </w:r>
            <w:r>
              <w:rPr>
                <w:rFonts w:hint="default" w:ascii="Times New Roman" w:hAnsi="Times New Roman" w:cs="Times New Roman" w:eastAsiaTheme="minorEastAsia"/>
                <w:color w:val="auto"/>
                <w:kern w:val="0"/>
                <w:sz w:val="18"/>
                <w:szCs w:val="18"/>
                <w:highlight w:val="none"/>
                <w:lang w:eastAsia="zh-CN"/>
              </w:rPr>
              <w:t>第一项</w:t>
            </w:r>
            <w:r>
              <w:rPr>
                <w:rFonts w:hint="default" w:ascii="Times New Roman" w:hAnsi="Times New Roman" w:cs="Times New Roman" w:eastAsiaTheme="minorEastAsia"/>
                <w:color w:val="auto"/>
                <w:kern w:val="0"/>
                <w:sz w:val="18"/>
                <w:szCs w:val="18"/>
                <w:highlight w:val="none"/>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一）拒绝向市政燃气管网覆盖范围内符合用气条件的单位或者个人供气的；”</w:t>
            </w:r>
          </w:p>
        </w:tc>
        <w:tc>
          <w:tcPr>
            <w:tcW w:w="177" w:type="pct"/>
            <w:gridSpan w:val="2"/>
            <w:shd w:val="clear" w:color="auto" w:fill="auto"/>
            <w:tcMar>
              <w:top w:w="15" w:type="dxa"/>
              <w:left w:w="15" w:type="dxa"/>
              <w:right w:w="15" w:type="dxa"/>
            </w:tcMar>
            <w:vAlign w:val="center"/>
          </w:tcPr>
          <w:p w14:paraId="6B9E9B72">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2AE84418">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拒绝供气5天</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23E301A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rPr>
              <w:t>1万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3.7</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元以下罚款；有违法所得的，没收违法所得；情节严重的，吊销燃气经营许可证</w:t>
            </w:r>
          </w:p>
        </w:tc>
        <w:tc>
          <w:tcPr>
            <w:tcW w:w="260" w:type="pct"/>
            <w:gridSpan w:val="3"/>
            <w:vMerge w:val="restart"/>
            <w:shd w:val="clear" w:color="auto" w:fill="auto"/>
            <w:tcMar>
              <w:top w:w="15" w:type="dxa"/>
              <w:left w:w="15" w:type="dxa"/>
              <w:right w:w="15" w:type="dxa"/>
            </w:tcMar>
            <w:vAlign w:val="center"/>
          </w:tcPr>
          <w:p w14:paraId="4F229B95">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责令限期改正；构成犯罪的，依法追究刑事责任</w:t>
            </w:r>
          </w:p>
          <w:p w14:paraId="2A4EEA5A">
            <w:pPr>
              <w:widowControl/>
              <w:shd w:val="clear"/>
              <w:jc w:val="left"/>
              <w:textAlignment w:val="center"/>
              <w:rPr>
                <w:rFonts w:hint="default" w:ascii="Times New Roman" w:hAnsi="Times New Roman" w:cs="Times New Roman" w:eastAsiaTheme="minorEastAsia"/>
                <w:color w:val="auto"/>
                <w:sz w:val="18"/>
                <w:szCs w:val="18"/>
                <w:highlight w:val="none"/>
              </w:rPr>
            </w:pPr>
          </w:p>
          <w:p w14:paraId="13F8C7CB">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3EBA3358">
            <w:pPr>
              <w:shd w:val="clear"/>
              <w:jc w:val="left"/>
              <w:rPr>
                <w:rFonts w:hint="default" w:ascii="Times New Roman" w:hAnsi="Times New Roman" w:cs="Times New Roman" w:eastAsiaTheme="minorEastAsia"/>
                <w:color w:val="auto"/>
                <w:sz w:val="18"/>
                <w:szCs w:val="18"/>
                <w:highlight w:val="none"/>
                <w:lang w:val="en-US" w:eastAsia="zh-CN"/>
              </w:rPr>
            </w:pPr>
          </w:p>
        </w:tc>
      </w:tr>
      <w:tr w14:paraId="5FBB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40" w:hRule="atLeast"/>
        </w:trPr>
        <w:tc>
          <w:tcPr>
            <w:tcW w:w="116" w:type="pct"/>
            <w:vMerge w:val="continue"/>
            <w:shd w:val="clear" w:color="auto" w:fill="auto"/>
            <w:tcMar>
              <w:top w:w="15" w:type="dxa"/>
              <w:left w:w="15" w:type="dxa"/>
              <w:right w:w="15" w:type="dxa"/>
            </w:tcMar>
            <w:vAlign w:val="center"/>
          </w:tcPr>
          <w:p w14:paraId="0DD9E8D4">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02A50C38">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7CD0592B">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189B37F6">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412F9D6D">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2294AE25">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拒绝供气5天</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10天</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218BABC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3.7</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元以下罚款；有违法所得的，没收违法所得；情节严重的，吊销燃气经营许可证</w:t>
            </w:r>
          </w:p>
        </w:tc>
        <w:tc>
          <w:tcPr>
            <w:tcW w:w="260" w:type="pct"/>
            <w:gridSpan w:val="3"/>
            <w:vMerge w:val="continue"/>
            <w:shd w:val="clear" w:color="auto" w:fill="auto"/>
            <w:tcMar>
              <w:top w:w="15" w:type="dxa"/>
              <w:left w:w="15" w:type="dxa"/>
              <w:right w:w="15" w:type="dxa"/>
            </w:tcMar>
            <w:vAlign w:val="center"/>
          </w:tcPr>
          <w:p w14:paraId="333EE0DB">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4C39E895">
            <w:pPr>
              <w:shd w:val="clear"/>
              <w:jc w:val="left"/>
              <w:rPr>
                <w:rFonts w:hint="default" w:ascii="Times New Roman" w:hAnsi="Times New Roman" w:cs="Times New Roman" w:eastAsiaTheme="minorEastAsia"/>
                <w:color w:val="auto"/>
                <w:sz w:val="18"/>
                <w:szCs w:val="18"/>
                <w:highlight w:val="none"/>
              </w:rPr>
            </w:pPr>
          </w:p>
        </w:tc>
      </w:tr>
      <w:tr w14:paraId="3694C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40" w:hRule="atLeast"/>
        </w:trPr>
        <w:tc>
          <w:tcPr>
            <w:tcW w:w="116" w:type="pct"/>
            <w:vMerge w:val="continue"/>
            <w:shd w:val="clear" w:color="auto" w:fill="auto"/>
            <w:tcMar>
              <w:top w:w="15" w:type="dxa"/>
              <w:left w:w="15" w:type="dxa"/>
              <w:right w:w="15" w:type="dxa"/>
            </w:tcMar>
            <w:vAlign w:val="center"/>
          </w:tcPr>
          <w:p w14:paraId="3FAF351A">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78624755">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649FBF27">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4A135B49">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78819CF1">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66BD0119">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拒绝供气10天</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185CB7D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rPr>
              <w:t>7万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元以下罚款；有违法所得的，没收违法所得；</w:t>
            </w:r>
            <w:r>
              <w:rPr>
                <w:rFonts w:hint="default" w:ascii="Times New Roman" w:hAnsi="Times New Roman" w:cs="Times New Roman" w:eastAsiaTheme="minorEastAsia"/>
                <w:color w:val="auto"/>
                <w:kern w:val="0"/>
                <w:sz w:val="18"/>
                <w:szCs w:val="18"/>
                <w:highlight w:val="none"/>
                <w:lang w:eastAsia="zh-CN"/>
              </w:rPr>
              <w:t>情节严重的，</w:t>
            </w:r>
            <w:r>
              <w:rPr>
                <w:rFonts w:hint="default" w:ascii="Times New Roman" w:hAnsi="Times New Roman" w:cs="Times New Roman" w:eastAsiaTheme="minorEastAsia"/>
                <w:color w:val="auto"/>
                <w:kern w:val="0"/>
                <w:sz w:val="18"/>
                <w:szCs w:val="18"/>
                <w:highlight w:val="none"/>
              </w:rPr>
              <w:t>吊销燃气经营许可证</w:t>
            </w:r>
          </w:p>
        </w:tc>
        <w:tc>
          <w:tcPr>
            <w:tcW w:w="260" w:type="pct"/>
            <w:gridSpan w:val="3"/>
            <w:vMerge w:val="continue"/>
            <w:shd w:val="clear" w:color="auto" w:fill="auto"/>
            <w:tcMar>
              <w:top w:w="15" w:type="dxa"/>
              <w:left w:w="15" w:type="dxa"/>
              <w:right w:w="15" w:type="dxa"/>
            </w:tcMar>
            <w:vAlign w:val="center"/>
          </w:tcPr>
          <w:p w14:paraId="7CCE0530">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1583B805">
            <w:pPr>
              <w:shd w:val="clear"/>
              <w:jc w:val="left"/>
              <w:rPr>
                <w:rFonts w:hint="default" w:ascii="Times New Roman" w:hAnsi="Times New Roman" w:cs="Times New Roman" w:eastAsiaTheme="minorEastAsia"/>
                <w:color w:val="auto"/>
                <w:sz w:val="18"/>
                <w:szCs w:val="18"/>
                <w:highlight w:val="none"/>
              </w:rPr>
            </w:pPr>
          </w:p>
        </w:tc>
      </w:tr>
      <w:tr w14:paraId="53D3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03" w:hRule="atLeast"/>
        </w:trPr>
        <w:tc>
          <w:tcPr>
            <w:tcW w:w="116" w:type="pct"/>
            <w:vMerge w:val="restart"/>
            <w:shd w:val="clear" w:color="auto" w:fill="auto"/>
            <w:tcMar>
              <w:top w:w="15" w:type="dxa"/>
              <w:left w:w="15" w:type="dxa"/>
              <w:right w:w="15" w:type="dxa"/>
            </w:tcMar>
            <w:vAlign w:val="center"/>
          </w:tcPr>
          <w:p w14:paraId="25398987">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123</w:t>
            </w:r>
          </w:p>
        </w:tc>
        <w:tc>
          <w:tcPr>
            <w:tcW w:w="411" w:type="pct"/>
            <w:gridSpan w:val="2"/>
            <w:vMerge w:val="restart"/>
            <w:shd w:val="clear" w:color="auto" w:fill="auto"/>
            <w:tcMar>
              <w:top w:w="15" w:type="dxa"/>
              <w:left w:w="15" w:type="dxa"/>
              <w:right w:w="15" w:type="dxa"/>
            </w:tcMar>
            <w:vAlign w:val="center"/>
          </w:tcPr>
          <w:p w14:paraId="51AC827C">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倒卖、抵押、出租、出借、转让、涂改燃气经营许可证</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18D77458">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1.</w:t>
            </w:r>
            <w:r>
              <w:rPr>
                <w:rFonts w:hint="default" w:ascii="Times New Roman" w:hAnsi="Times New Roman" w:cs="Times New Roman" w:eastAsiaTheme="minorEastAsia"/>
                <w:color w:val="auto"/>
                <w:kern w:val="0"/>
                <w:sz w:val="18"/>
                <w:szCs w:val="18"/>
                <w:highlight w:val="none"/>
              </w:rPr>
              <w:t>《城镇燃气管理条例》第十八条</w:t>
            </w:r>
            <w:r>
              <w:rPr>
                <w:rFonts w:hint="default" w:ascii="Times New Roman" w:hAnsi="Times New Roman" w:cs="Times New Roman" w:eastAsiaTheme="minorEastAsia"/>
                <w:color w:val="auto"/>
                <w:kern w:val="0"/>
                <w:sz w:val="18"/>
                <w:szCs w:val="18"/>
                <w:highlight w:val="none"/>
                <w:lang w:eastAsia="zh-CN"/>
              </w:rPr>
              <w:t>第二项</w:t>
            </w:r>
            <w:r>
              <w:rPr>
                <w:rFonts w:hint="default" w:ascii="Times New Roman" w:hAnsi="Times New Roman" w:cs="Times New Roman" w:eastAsiaTheme="minorEastAsia"/>
                <w:color w:val="auto"/>
                <w:kern w:val="0"/>
                <w:sz w:val="18"/>
                <w:szCs w:val="18"/>
                <w:highlight w:val="none"/>
              </w:rPr>
              <w:t>：“燃气经营者不得有下列行为：（二）倒卖、抵押、出租、出借、转让、涂改燃气经营许可证；”</w:t>
            </w:r>
          </w:p>
          <w:p w14:paraId="1E29D044">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2.《东莞市燃气管理办法》第二十条第四项：“燃气经营企业在从事燃气经营活动的过程中，应当遵守下列规定：（四）不得倒卖、抵押、出租、出借、转让、涂改燃气经营许可证；”</w:t>
            </w:r>
          </w:p>
        </w:tc>
        <w:tc>
          <w:tcPr>
            <w:tcW w:w="1314" w:type="pct"/>
            <w:gridSpan w:val="2"/>
            <w:vMerge w:val="restart"/>
            <w:shd w:val="clear" w:color="auto" w:fill="auto"/>
            <w:tcMar>
              <w:top w:w="15" w:type="dxa"/>
              <w:left w:w="15" w:type="dxa"/>
              <w:right w:w="15" w:type="dxa"/>
            </w:tcMar>
            <w:vAlign w:val="center"/>
          </w:tcPr>
          <w:p w14:paraId="60B51058">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1.</w:t>
            </w:r>
            <w:r>
              <w:rPr>
                <w:rFonts w:hint="default" w:ascii="Times New Roman" w:hAnsi="Times New Roman" w:cs="Times New Roman" w:eastAsiaTheme="minorEastAsia"/>
                <w:color w:val="auto"/>
                <w:kern w:val="0"/>
                <w:sz w:val="18"/>
                <w:szCs w:val="18"/>
                <w:highlight w:val="none"/>
              </w:rPr>
              <w:t>《城镇燃气管理条例》第四十六条</w:t>
            </w:r>
            <w:r>
              <w:rPr>
                <w:rFonts w:hint="default" w:ascii="Times New Roman" w:hAnsi="Times New Roman" w:cs="Times New Roman" w:eastAsiaTheme="minorEastAsia"/>
                <w:color w:val="auto"/>
                <w:kern w:val="0"/>
                <w:sz w:val="18"/>
                <w:szCs w:val="18"/>
                <w:highlight w:val="none"/>
                <w:lang w:eastAsia="zh-CN"/>
              </w:rPr>
              <w:t>第二项</w:t>
            </w:r>
            <w:r>
              <w:rPr>
                <w:rFonts w:hint="default" w:ascii="Times New Roman" w:hAnsi="Times New Roman" w:cs="Times New Roman" w:eastAsiaTheme="minorEastAsia"/>
                <w:color w:val="auto"/>
                <w:kern w:val="0"/>
                <w:sz w:val="18"/>
                <w:szCs w:val="18"/>
                <w:highlight w:val="none"/>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二）倒卖、抵押、出租、出借、转让、涂改燃气经营许可证的；”</w:t>
            </w:r>
          </w:p>
          <w:p w14:paraId="14D3BD73">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2.《东莞市燃气管理办法》第五十二条：“违反本办法第二十条第二项、第四项、第五项、第七项及第八项规定的，由燃气行政主管部门根据《城镇燃气管理条例》第四十六条规定进行处罚。”</w:t>
            </w:r>
          </w:p>
        </w:tc>
        <w:tc>
          <w:tcPr>
            <w:tcW w:w="177" w:type="pct"/>
            <w:gridSpan w:val="2"/>
            <w:shd w:val="clear" w:color="auto" w:fill="auto"/>
            <w:tcMar>
              <w:top w:w="15" w:type="dxa"/>
              <w:left w:w="15" w:type="dxa"/>
              <w:right w:w="15" w:type="dxa"/>
            </w:tcMar>
            <w:vAlign w:val="center"/>
          </w:tcPr>
          <w:p w14:paraId="519EFA1E">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1D6F72AF">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倒卖、抵押、出租、出借、转让、涂改燃气经营许可证</w:t>
            </w:r>
            <w:r>
              <w:rPr>
                <w:rFonts w:hint="default" w:ascii="Times New Roman" w:hAnsi="Times New Roman" w:cs="Times New Roman" w:eastAsiaTheme="minorEastAsia"/>
                <w:color w:val="auto"/>
                <w:kern w:val="0"/>
                <w:sz w:val="18"/>
                <w:szCs w:val="18"/>
                <w:highlight w:val="none"/>
                <w:lang w:eastAsia="zh-CN"/>
              </w:rPr>
              <w:t>持续时间</w:t>
            </w:r>
            <w:r>
              <w:rPr>
                <w:rFonts w:hint="default" w:ascii="Times New Roman" w:hAnsi="Times New Roman" w:cs="Times New Roman" w:eastAsiaTheme="minorEastAsia"/>
                <w:color w:val="auto"/>
                <w:kern w:val="0"/>
                <w:sz w:val="18"/>
                <w:szCs w:val="18"/>
                <w:highlight w:val="none"/>
                <w:lang w:val="en-US" w:eastAsia="zh-CN"/>
              </w:rPr>
              <w:t>1个月以下</w:t>
            </w:r>
          </w:p>
        </w:tc>
        <w:tc>
          <w:tcPr>
            <w:tcW w:w="545" w:type="pct"/>
            <w:gridSpan w:val="2"/>
            <w:shd w:val="clear" w:color="auto" w:fill="auto"/>
            <w:tcMar>
              <w:top w:w="15" w:type="dxa"/>
              <w:left w:w="15" w:type="dxa"/>
              <w:right w:w="15" w:type="dxa"/>
            </w:tcMar>
            <w:vAlign w:val="center"/>
          </w:tcPr>
          <w:p w14:paraId="67B91AB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rPr>
              <w:t>1万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3.7</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元以下罚款；有违法所得的，没收违法所得；情节严重的，吊销燃气经营许可证</w:t>
            </w:r>
          </w:p>
        </w:tc>
        <w:tc>
          <w:tcPr>
            <w:tcW w:w="260" w:type="pct"/>
            <w:gridSpan w:val="3"/>
            <w:vMerge w:val="restart"/>
            <w:shd w:val="clear" w:color="auto" w:fill="auto"/>
            <w:tcMar>
              <w:top w:w="15" w:type="dxa"/>
              <w:left w:w="15" w:type="dxa"/>
              <w:right w:w="15" w:type="dxa"/>
            </w:tcMar>
            <w:vAlign w:val="center"/>
          </w:tcPr>
          <w:p w14:paraId="0A92C7C8">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责令限期改正；构成犯罪的，依法追究刑事责任</w:t>
            </w:r>
          </w:p>
          <w:p w14:paraId="245C6EC0">
            <w:pPr>
              <w:widowControl/>
              <w:shd w:val="clear"/>
              <w:jc w:val="left"/>
              <w:textAlignment w:val="center"/>
              <w:rPr>
                <w:rFonts w:hint="default" w:ascii="Times New Roman" w:hAnsi="Times New Roman" w:cs="Times New Roman" w:eastAsiaTheme="minorEastAsia"/>
                <w:color w:val="auto"/>
                <w:sz w:val="18"/>
                <w:szCs w:val="18"/>
                <w:highlight w:val="none"/>
              </w:rPr>
            </w:pPr>
          </w:p>
          <w:p w14:paraId="66479B26">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44FF60C0">
            <w:pPr>
              <w:shd w:val="clear"/>
              <w:jc w:val="left"/>
              <w:rPr>
                <w:rFonts w:hint="default" w:ascii="Times New Roman" w:hAnsi="Times New Roman" w:cs="Times New Roman" w:eastAsiaTheme="minorEastAsia"/>
                <w:color w:val="auto"/>
                <w:sz w:val="18"/>
                <w:szCs w:val="18"/>
                <w:highlight w:val="none"/>
                <w:lang w:val="en-US" w:eastAsia="zh-CN"/>
              </w:rPr>
            </w:pPr>
          </w:p>
        </w:tc>
      </w:tr>
      <w:tr w14:paraId="109E1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005" w:hRule="atLeast"/>
        </w:trPr>
        <w:tc>
          <w:tcPr>
            <w:tcW w:w="116" w:type="pct"/>
            <w:vMerge w:val="continue"/>
            <w:shd w:val="clear" w:color="auto" w:fill="auto"/>
            <w:tcMar>
              <w:top w:w="15" w:type="dxa"/>
              <w:left w:w="15" w:type="dxa"/>
              <w:right w:w="15" w:type="dxa"/>
            </w:tcMar>
            <w:vAlign w:val="center"/>
          </w:tcPr>
          <w:p w14:paraId="2C4D7041">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43F48847">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25C11A6F">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48700B62">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2325A51E">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4F11728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倒卖、抵押、出租、出借、转让、涂改燃气经营许可证</w:t>
            </w:r>
            <w:r>
              <w:rPr>
                <w:rFonts w:hint="default" w:ascii="Times New Roman" w:hAnsi="Times New Roman" w:cs="Times New Roman" w:eastAsiaTheme="minorEastAsia"/>
                <w:color w:val="auto"/>
                <w:kern w:val="0"/>
                <w:sz w:val="18"/>
                <w:szCs w:val="18"/>
                <w:highlight w:val="none"/>
                <w:lang w:eastAsia="zh-CN"/>
              </w:rPr>
              <w:t>持续时间</w:t>
            </w:r>
            <w:r>
              <w:rPr>
                <w:rFonts w:hint="default" w:ascii="Times New Roman" w:hAnsi="Times New Roman" w:cs="Times New Roman" w:eastAsiaTheme="minorEastAsia"/>
                <w:color w:val="auto"/>
                <w:kern w:val="0"/>
                <w:sz w:val="18"/>
                <w:szCs w:val="18"/>
                <w:highlight w:val="none"/>
                <w:lang w:val="en-US" w:eastAsia="zh-CN"/>
              </w:rPr>
              <w:t>1个月以上3个月以下</w:t>
            </w:r>
          </w:p>
        </w:tc>
        <w:tc>
          <w:tcPr>
            <w:tcW w:w="545" w:type="pct"/>
            <w:gridSpan w:val="2"/>
            <w:shd w:val="clear" w:color="auto" w:fill="auto"/>
            <w:tcMar>
              <w:top w:w="15" w:type="dxa"/>
              <w:left w:w="15" w:type="dxa"/>
              <w:right w:w="15" w:type="dxa"/>
            </w:tcMar>
            <w:vAlign w:val="center"/>
          </w:tcPr>
          <w:p w14:paraId="3E8EFA9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3.7</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元以下罚款；有违法所得的，没收违法所得；情节严重的，吊销燃气经营许可证</w:t>
            </w:r>
          </w:p>
        </w:tc>
        <w:tc>
          <w:tcPr>
            <w:tcW w:w="260" w:type="pct"/>
            <w:gridSpan w:val="3"/>
            <w:vMerge w:val="continue"/>
            <w:shd w:val="clear" w:color="auto" w:fill="auto"/>
            <w:tcMar>
              <w:top w:w="15" w:type="dxa"/>
              <w:left w:w="15" w:type="dxa"/>
              <w:right w:w="15" w:type="dxa"/>
            </w:tcMar>
            <w:vAlign w:val="center"/>
          </w:tcPr>
          <w:p w14:paraId="4695ABF8">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06C0C86B">
            <w:pPr>
              <w:shd w:val="clear"/>
              <w:jc w:val="left"/>
              <w:rPr>
                <w:rFonts w:hint="default" w:ascii="Times New Roman" w:hAnsi="Times New Roman" w:cs="Times New Roman" w:eastAsiaTheme="minorEastAsia"/>
                <w:color w:val="auto"/>
                <w:sz w:val="18"/>
                <w:szCs w:val="18"/>
                <w:highlight w:val="none"/>
              </w:rPr>
            </w:pPr>
          </w:p>
        </w:tc>
      </w:tr>
      <w:tr w14:paraId="7C74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78" w:hRule="atLeast"/>
        </w:trPr>
        <w:tc>
          <w:tcPr>
            <w:tcW w:w="116" w:type="pct"/>
            <w:vMerge w:val="continue"/>
            <w:shd w:val="clear" w:color="auto" w:fill="auto"/>
            <w:tcMar>
              <w:top w:w="15" w:type="dxa"/>
              <w:left w:w="15" w:type="dxa"/>
              <w:right w:w="15" w:type="dxa"/>
            </w:tcMar>
            <w:vAlign w:val="center"/>
          </w:tcPr>
          <w:p w14:paraId="039552FA">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5417B8C0">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10A484E">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75C82BA2">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0286B2CE">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6074289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倒卖、抵押、出租、出借、转让、涂改燃气经营许可证</w:t>
            </w:r>
            <w:r>
              <w:rPr>
                <w:rFonts w:hint="default" w:ascii="Times New Roman" w:hAnsi="Times New Roman" w:cs="Times New Roman" w:eastAsiaTheme="minorEastAsia"/>
                <w:color w:val="auto"/>
                <w:kern w:val="0"/>
                <w:sz w:val="18"/>
                <w:szCs w:val="18"/>
                <w:highlight w:val="none"/>
                <w:lang w:eastAsia="zh-CN"/>
              </w:rPr>
              <w:t>持续时间</w:t>
            </w:r>
            <w:r>
              <w:rPr>
                <w:rFonts w:hint="default" w:ascii="Times New Roman" w:hAnsi="Times New Roman" w:cs="Times New Roman" w:eastAsiaTheme="minorEastAsia"/>
                <w:color w:val="auto"/>
                <w:kern w:val="0"/>
                <w:sz w:val="18"/>
                <w:szCs w:val="18"/>
                <w:highlight w:val="none"/>
                <w:lang w:val="en-US" w:eastAsia="zh-CN"/>
              </w:rPr>
              <w:t>3个月以上</w:t>
            </w:r>
          </w:p>
        </w:tc>
        <w:tc>
          <w:tcPr>
            <w:tcW w:w="545" w:type="pct"/>
            <w:gridSpan w:val="2"/>
            <w:shd w:val="clear" w:color="auto" w:fill="auto"/>
            <w:tcMar>
              <w:top w:w="15" w:type="dxa"/>
              <w:left w:w="15" w:type="dxa"/>
              <w:right w:w="15" w:type="dxa"/>
            </w:tcMar>
            <w:vAlign w:val="center"/>
          </w:tcPr>
          <w:p w14:paraId="14B1F54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7.3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元以下罚款；有违法所得的，没收违法所得；</w:t>
            </w:r>
            <w:r>
              <w:rPr>
                <w:rFonts w:hint="default" w:ascii="Times New Roman" w:hAnsi="Times New Roman" w:cs="Times New Roman" w:eastAsiaTheme="minorEastAsia"/>
                <w:color w:val="auto"/>
                <w:kern w:val="0"/>
                <w:sz w:val="18"/>
                <w:szCs w:val="18"/>
                <w:highlight w:val="none"/>
                <w:lang w:eastAsia="zh-CN"/>
              </w:rPr>
              <w:t>情节严重的，</w:t>
            </w:r>
            <w:r>
              <w:rPr>
                <w:rFonts w:hint="default" w:ascii="Times New Roman" w:hAnsi="Times New Roman" w:cs="Times New Roman" w:eastAsiaTheme="minorEastAsia"/>
                <w:color w:val="auto"/>
                <w:kern w:val="0"/>
                <w:sz w:val="18"/>
                <w:szCs w:val="18"/>
                <w:highlight w:val="none"/>
              </w:rPr>
              <w:t>吊销燃气经营许可证</w:t>
            </w:r>
          </w:p>
        </w:tc>
        <w:tc>
          <w:tcPr>
            <w:tcW w:w="260" w:type="pct"/>
            <w:gridSpan w:val="3"/>
            <w:vMerge w:val="continue"/>
            <w:shd w:val="clear" w:color="auto" w:fill="auto"/>
            <w:tcMar>
              <w:top w:w="15" w:type="dxa"/>
              <w:left w:w="15" w:type="dxa"/>
              <w:right w:w="15" w:type="dxa"/>
            </w:tcMar>
            <w:vAlign w:val="center"/>
          </w:tcPr>
          <w:p w14:paraId="7A52ACD0">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0A1CB605">
            <w:pPr>
              <w:shd w:val="clear"/>
              <w:jc w:val="left"/>
              <w:rPr>
                <w:rFonts w:hint="default" w:ascii="Times New Roman" w:hAnsi="Times New Roman" w:cs="Times New Roman" w:eastAsiaTheme="minorEastAsia"/>
                <w:color w:val="auto"/>
                <w:sz w:val="18"/>
                <w:szCs w:val="18"/>
                <w:highlight w:val="none"/>
              </w:rPr>
            </w:pPr>
          </w:p>
        </w:tc>
      </w:tr>
      <w:tr w14:paraId="3ACE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575" w:hRule="atLeast"/>
        </w:trPr>
        <w:tc>
          <w:tcPr>
            <w:tcW w:w="116" w:type="pct"/>
            <w:vMerge w:val="restart"/>
            <w:shd w:val="clear" w:color="auto" w:fill="auto"/>
            <w:tcMar>
              <w:top w:w="15" w:type="dxa"/>
              <w:left w:w="15" w:type="dxa"/>
              <w:right w:w="15" w:type="dxa"/>
            </w:tcMar>
            <w:vAlign w:val="center"/>
          </w:tcPr>
          <w:p w14:paraId="1A75E330">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124</w:t>
            </w:r>
          </w:p>
        </w:tc>
        <w:tc>
          <w:tcPr>
            <w:tcW w:w="411" w:type="pct"/>
            <w:gridSpan w:val="2"/>
            <w:vMerge w:val="restart"/>
            <w:shd w:val="clear" w:color="auto" w:fill="auto"/>
            <w:tcMar>
              <w:top w:w="15" w:type="dxa"/>
              <w:left w:w="15" w:type="dxa"/>
              <w:right w:w="15" w:type="dxa"/>
            </w:tcMar>
            <w:vAlign w:val="center"/>
          </w:tcPr>
          <w:p w14:paraId="7D4A0D0B">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未履行必要告知义务擅自停止供气、调整供气量，或者未经审批擅自停业或者歇业</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74237B4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《城镇燃气管理条例》第十八条</w:t>
            </w:r>
            <w:r>
              <w:rPr>
                <w:rFonts w:hint="default" w:ascii="Times New Roman" w:hAnsi="Times New Roman" w:cs="Times New Roman" w:eastAsiaTheme="minorEastAsia"/>
                <w:color w:val="auto"/>
                <w:kern w:val="0"/>
                <w:sz w:val="18"/>
                <w:szCs w:val="18"/>
                <w:highlight w:val="none"/>
                <w:lang w:eastAsia="zh-CN"/>
              </w:rPr>
              <w:t>第三项</w:t>
            </w:r>
            <w:r>
              <w:rPr>
                <w:rFonts w:hint="default" w:ascii="Times New Roman" w:hAnsi="Times New Roman" w:cs="Times New Roman" w:eastAsiaTheme="minorEastAsia"/>
                <w:color w:val="auto"/>
                <w:kern w:val="0"/>
                <w:sz w:val="18"/>
                <w:szCs w:val="18"/>
                <w:highlight w:val="none"/>
              </w:rPr>
              <w:t>：“燃气经营者不得有下列行为：（三）未履行必要告知义务擅自停止供气、调整供气量，或者未经审批擅自停业或者歇业；”</w:t>
            </w:r>
          </w:p>
        </w:tc>
        <w:tc>
          <w:tcPr>
            <w:tcW w:w="1314" w:type="pct"/>
            <w:gridSpan w:val="2"/>
            <w:vMerge w:val="restart"/>
            <w:shd w:val="clear" w:color="auto" w:fill="auto"/>
            <w:tcMar>
              <w:top w:w="15" w:type="dxa"/>
              <w:left w:w="15" w:type="dxa"/>
              <w:right w:w="15" w:type="dxa"/>
            </w:tcMar>
            <w:vAlign w:val="center"/>
          </w:tcPr>
          <w:p w14:paraId="7DD49CEA">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《城镇燃气管理条例》第四十六条</w:t>
            </w:r>
            <w:r>
              <w:rPr>
                <w:rFonts w:hint="default" w:ascii="Times New Roman" w:hAnsi="Times New Roman" w:cs="Times New Roman" w:eastAsiaTheme="minorEastAsia"/>
                <w:color w:val="auto"/>
                <w:kern w:val="0"/>
                <w:sz w:val="18"/>
                <w:szCs w:val="18"/>
                <w:highlight w:val="none"/>
                <w:lang w:eastAsia="zh-CN"/>
              </w:rPr>
              <w:t>第三项</w:t>
            </w:r>
            <w:r>
              <w:rPr>
                <w:rFonts w:hint="default" w:ascii="Times New Roman" w:hAnsi="Times New Roman" w:cs="Times New Roman" w:eastAsiaTheme="minorEastAsia"/>
                <w:color w:val="auto"/>
                <w:kern w:val="0"/>
                <w:sz w:val="18"/>
                <w:szCs w:val="18"/>
                <w:highlight w:val="none"/>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三）未履行必要告知义务擅自停止供气、调整供气量，或者未经审批擅自停业或者歇业的；”</w:t>
            </w:r>
          </w:p>
        </w:tc>
        <w:tc>
          <w:tcPr>
            <w:tcW w:w="177" w:type="pct"/>
            <w:gridSpan w:val="2"/>
            <w:shd w:val="clear" w:color="auto" w:fill="auto"/>
            <w:tcMar>
              <w:top w:w="15" w:type="dxa"/>
              <w:left w:w="15" w:type="dxa"/>
              <w:right w:w="15" w:type="dxa"/>
            </w:tcMar>
            <w:vAlign w:val="center"/>
          </w:tcPr>
          <w:p w14:paraId="0B224536">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1FF3D72B">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未履行必要告知义务擅自停止供气、调整供气量影响50户</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rPr>
              <w:t>正常使用</w:t>
            </w:r>
            <w:r>
              <w:rPr>
                <w:rFonts w:hint="default" w:ascii="Times New Roman" w:hAnsi="Times New Roman" w:cs="Times New Roman" w:eastAsiaTheme="minorEastAsia"/>
                <w:color w:val="auto"/>
                <w:kern w:val="0"/>
                <w:sz w:val="18"/>
                <w:szCs w:val="18"/>
                <w:highlight w:val="none"/>
                <w:lang w:eastAsia="zh-CN"/>
              </w:rPr>
              <w:t>；</w:t>
            </w:r>
          </w:p>
          <w:p w14:paraId="47F1FB1A">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未经审批擅自停业或者歇业1天</w:t>
            </w:r>
          </w:p>
        </w:tc>
        <w:tc>
          <w:tcPr>
            <w:tcW w:w="545" w:type="pct"/>
            <w:gridSpan w:val="2"/>
            <w:shd w:val="clear" w:color="auto" w:fill="auto"/>
            <w:tcMar>
              <w:top w:w="15" w:type="dxa"/>
              <w:left w:w="15" w:type="dxa"/>
              <w:right w:w="15" w:type="dxa"/>
            </w:tcMar>
            <w:vAlign w:val="center"/>
          </w:tcPr>
          <w:p w14:paraId="663FA26A">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rPr>
              <w:t>1万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3.7</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元以下罚款；有违法所得的，没收违法所得；情节严重的，吊销燃气经营许可证</w:t>
            </w:r>
          </w:p>
        </w:tc>
        <w:tc>
          <w:tcPr>
            <w:tcW w:w="260" w:type="pct"/>
            <w:gridSpan w:val="3"/>
            <w:vMerge w:val="restart"/>
            <w:shd w:val="clear" w:color="auto" w:fill="auto"/>
            <w:tcMar>
              <w:top w:w="15" w:type="dxa"/>
              <w:left w:w="15" w:type="dxa"/>
              <w:right w:w="15" w:type="dxa"/>
            </w:tcMar>
            <w:vAlign w:val="center"/>
          </w:tcPr>
          <w:p w14:paraId="76DEF619">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责令限期改正；构成犯罪的，依法追究刑事责任</w:t>
            </w:r>
          </w:p>
          <w:p w14:paraId="65D8A9CE">
            <w:pPr>
              <w:widowControl/>
              <w:shd w:val="clear"/>
              <w:jc w:val="left"/>
              <w:textAlignment w:val="center"/>
              <w:rPr>
                <w:rFonts w:hint="default" w:ascii="Times New Roman" w:hAnsi="Times New Roman" w:cs="Times New Roman" w:eastAsiaTheme="minorEastAsia"/>
                <w:color w:val="auto"/>
                <w:sz w:val="18"/>
                <w:szCs w:val="18"/>
                <w:highlight w:val="none"/>
              </w:rPr>
            </w:pPr>
          </w:p>
          <w:p w14:paraId="1913C5D3">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001EE2BF">
            <w:pPr>
              <w:shd w:val="clear"/>
              <w:jc w:val="left"/>
              <w:rPr>
                <w:rFonts w:hint="default" w:ascii="Times New Roman" w:hAnsi="Times New Roman" w:cs="Times New Roman" w:eastAsiaTheme="minorEastAsia"/>
                <w:color w:val="auto"/>
                <w:sz w:val="18"/>
                <w:szCs w:val="18"/>
                <w:highlight w:val="none"/>
                <w:lang w:val="en-US" w:eastAsia="zh-CN"/>
              </w:rPr>
            </w:pPr>
          </w:p>
        </w:tc>
      </w:tr>
      <w:tr w14:paraId="662B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575" w:hRule="atLeast"/>
        </w:trPr>
        <w:tc>
          <w:tcPr>
            <w:tcW w:w="116" w:type="pct"/>
            <w:vMerge w:val="continue"/>
            <w:shd w:val="clear" w:color="auto" w:fill="auto"/>
            <w:tcMar>
              <w:top w:w="15" w:type="dxa"/>
              <w:left w:w="15" w:type="dxa"/>
              <w:right w:w="15" w:type="dxa"/>
            </w:tcMar>
            <w:vAlign w:val="center"/>
          </w:tcPr>
          <w:p w14:paraId="432B2F5A">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313504AD">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8FF2B09">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508A35F9">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1B25A6D0">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25F1FCCD">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未履行必要告知义务擅自停止供气、调整供气量影响50户</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100户</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rPr>
              <w:t>正常使用</w:t>
            </w:r>
            <w:r>
              <w:rPr>
                <w:rFonts w:hint="default" w:ascii="Times New Roman" w:hAnsi="Times New Roman" w:cs="Times New Roman" w:eastAsiaTheme="minorEastAsia"/>
                <w:color w:val="auto"/>
                <w:kern w:val="0"/>
                <w:sz w:val="18"/>
                <w:szCs w:val="18"/>
                <w:highlight w:val="none"/>
                <w:lang w:eastAsia="zh-CN"/>
              </w:rPr>
              <w:t>；</w:t>
            </w:r>
          </w:p>
          <w:p w14:paraId="243852E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未经审批擅自停业或者歇业2天</w:t>
            </w:r>
          </w:p>
        </w:tc>
        <w:tc>
          <w:tcPr>
            <w:tcW w:w="545" w:type="pct"/>
            <w:gridSpan w:val="2"/>
            <w:shd w:val="clear" w:color="auto" w:fill="auto"/>
            <w:tcMar>
              <w:top w:w="15" w:type="dxa"/>
              <w:left w:w="15" w:type="dxa"/>
              <w:right w:w="15" w:type="dxa"/>
            </w:tcMar>
            <w:vAlign w:val="center"/>
          </w:tcPr>
          <w:p w14:paraId="3604557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3.7</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元以下罚款；有违法所得的，没收违法所得；情节严重的，吊销燃气经营许可证</w:t>
            </w:r>
          </w:p>
        </w:tc>
        <w:tc>
          <w:tcPr>
            <w:tcW w:w="260" w:type="pct"/>
            <w:gridSpan w:val="3"/>
            <w:vMerge w:val="continue"/>
            <w:shd w:val="clear" w:color="auto" w:fill="auto"/>
            <w:tcMar>
              <w:top w:w="15" w:type="dxa"/>
              <w:left w:w="15" w:type="dxa"/>
              <w:right w:w="15" w:type="dxa"/>
            </w:tcMar>
            <w:vAlign w:val="center"/>
          </w:tcPr>
          <w:p w14:paraId="22DBA05D">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7FB2B7F1">
            <w:pPr>
              <w:shd w:val="clear"/>
              <w:jc w:val="left"/>
              <w:rPr>
                <w:rFonts w:hint="default" w:ascii="Times New Roman" w:hAnsi="Times New Roman" w:cs="Times New Roman" w:eastAsiaTheme="minorEastAsia"/>
                <w:color w:val="auto"/>
                <w:sz w:val="18"/>
                <w:szCs w:val="18"/>
                <w:highlight w:val="none"/>
              </w:rPr>
            </w:pPr>
          </w:p>
        </w:tc>
      </w:tr>
      <w:tr w14:paraId="15B0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90" w:hRule="atLeast"/>
        </w:trPr>
        <w:tc>
          <w:tcPr>
            <w:tcW w:w="116" w:type="pct"/>
            <w:vMerge w:val="continue"/>
            <w:shd w:val="clear" w:color="auto" w:fill="auto"/>
            <w:tcMar>
              <w:top w:w="15" w:type="dxa"/>
              <w:left w:w="15" w:type="dxa"/>
              <w:right w:w="15" w:type="dxa"/>
            </w:tcMar>
            <w:vAlign w:val="center"/>
          </w:tcPr>
          <w:p w14:paraId="1C937416">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03F52F30">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0A3DA930">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11C54D0E">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33597C33">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1DDBD185">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未履行必要告知义务擅自停止供气、调整供气量影响100户</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正常使用</w:t>
            </w:r>
            <w:r>
              <w:rPr>
                <w:rFonts w:hint="default" w:ascii="Times New Roman" w:hAnsi="Times New Roman" w:cs="Times New Roman" w:eastAsiaTheme="minorEastAsia"/>
                <w:color w:val="auto"/>
                <w:kern w:val="0"/>
                <w:sz w:val="18"/>
                <w:szCs w:val="18"/>
                <w:highlight w:val="none"/>
                <w:lang w:eastAsia="zh-CN"/>
              </w:rPr>
              <w:t>；</w:t>
            </w:r>
          </w:p>
          <w:p w14:paraId="26DFB382">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未经审批擅自停业或者歇业3天</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2CEA247F">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7.3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元以下罚款；有违法所得的，没收违法所得；</w:t>
            </w:r>
            <w:r>
              <w:rPr>
                <w:rFonts w:hint="default" w:ascii="Times New Roman" w:hAnsi="Times New Roman" w:cs="Times New Roman" w:eastAsiaTheme="minorEastAsia"/>
                <w:color w:val="auto"/>
                <w:kern w:val="0"/>
                <w:sz w:val="18"/>
                <w:szCs w:val="18"/>
                <w:highlight w:val="none"/>
                <w:lang w:eastAsia="zh-CN"/>
              </w:rPr>
              <w:t>情节严重的，</w:t>
            </w:r>
            <w:r>
              <w:rPr>
                <w:rFonts w:hint="default" w:ascii="Times New Roman" w:hAnsi="Times New Roman" w:cs="Times New Roman" w:eastAsiaTheme="minorEastAsia"/>
                <w:color w:val="auto"/>
                <w:kern w:val="0"/>
                <w:sz w:val="18"/>
                <w:szCs w:val="18"/>
                <w:highlight w:val="none"/>
              </w:rPr>
              <w:t>吊销燃气经营许可证</w:t>
            </w:r>
          </w:p>
        </w:tc>
        <w:tc>
          <w:tcPr>
            <w:tcW w:w="260" w:type="pct"/>
            <w:gridSpan w:val="3"/>
            <w:vMerge w:val="continue"/>
            <w:shd w:val="clear" w:color="auto" w:fill="auto"/>
            <w:tcMar>
              <w:top w:w="15" w:type="dxa"/>
              <w:left w:w="15" w:type="dxa"/>
              <w:right w:w="15" w:type="dxa"/>
            </w:tcMar>
            <w:vAlign w:val="center"/>
          </w:tcPr>
          <w:p w14:paraId="5B0D1B97">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07FCD28C">
            <w:pPr>
              <w:shd w:val="clear"/>
              <w:jc w:val="left"/>
              <w:rPr>
                <w:rFonts w:hint="default" w:ascii="Times New Roman" w:hAnsi="Times New Roman" w:cs="Times New Roman" w:eastAsiaTheme="minorEastAsia"/>
                <w:color w:val="auto"/>
                <w:sz w:val="18"/>
                <w:szCs w:val="18"/>
                <w:highlight w:val="none"/>
              </w:rPr>
            </w:pPr>
          </w:p>
        </w:tc>
      </w:tr>
      <w:tr w14:paraId="76EB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770" w:hRule="atLeast"/>
        </w:trPr>
        <w:tc>
          <w:tcPr>
            <w:tcW w:w="116" w:type="pct"/>
            <w:vMerge w:val="restart"/>
            <w:shd w:val="clear" w:color="auto" w:fill="auto"/>
            <w:tcMar>
              <w:top w:w="15" w:type="dxa"/>
              <w:left w:w="15" w:type="dxa"/>
              <w:right w:w="15" w:type="dxa"/>
            </w:tcMar>
            <w:vAlign w:val="center"/>
          </w:tcPr>
          <w:p w14:paraId="5D424DEE">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sz w:val="18"/>
                <w:szCs w:val="18"/>
                <w:highlight w:val="none"/>
                <w:lang w:val="en-US" w:eastAsia="zh-CN"/>
              </w:rPr>
              <w:t>125</w:t>
            </w:r>
          </w:p>
        </w:tc>
        <w:tc>
          <w:tcPr>
            <w:tcW w:w="411" w:type="pct"/>
            <w:gridSpan w:val="2"/>
            <w:vMerge w:val="restart"/>
            <w:shd w:val="clear" w:color="auto" w:fill="auto"/>
            <w:tcMar>
              <w:top w:w="15" w:type="dxa"/>
              <w:left w:w="15" w:type="dxa"/>
              <w:right w:w="15" w:type="dxa"/>
            </w:tcMar>
            <w:vAlign w:val="center"/>
          </w:tcPr>
          <w:p w14:paraId="13486423">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向未取得燃气经营许可证的单位或者个人提供用于经营的燃气</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34AB59CA">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1.《城镇燃气管理条例》第十八条</w:t>
            </w:r>
            <w:r>
              <w:rPr>
                <w:rFonts w:hint="default" w:ascii="Times New Roman" w:hAnsi="Times New Roman" w:cs="Times New Roman" w:eastAsiaTheme="minorEastAsia"/>
                <w:color w:val="auto"/>
                <w:kern w:val="0"/>
                <w:sz w:val="18"/>
                <w:szCs w:val="18"/>
                <w:highlight w:val="none"/>
                <w:lang w:eastAsia="zh-CN"/>
              </w:rPr>
              <w:t>第四项</w:t>
            </w:r>
            <w:r>
              <w:rPr>
                <w:rFonts w:hint="default" w:ascii="Times New Roman" w:hAnsi="Times New Roman" w:cs="Times New Roman" w:eastAsiaTheme="minorEastAsia"/>
                <w:color w:val="auto"/>
                <w:kern w:val="0"/>
                <w:sz w:val="18"/>
                <w:szCs w:val="18"/>
                <w:highlight w:val="none"/>
              </w:rPr>
              <w:t xml:space="preserve">：“燃气经营者不得有下列行为：（四）向未取得燃气经营许可证的单位或者个人提供用于经营的燃气；”               </w:t>
            </w:r>
            <w:r>
              <w:rPr>
                <w:rFonts w:hint="default" w:ascii="Times New Roman" w:hAnsi="Times New Roman" w:cs="Times New Roman" w:eastAsiaTheme="minorEastAsia"/>
                <w:color w:val="auto"/>
                <w:kern w:val="0"/>
                <w:sz w:val="18"/>
                <w:szCs w:val="18"/>
                <w:highlight w:val="none"/>
              </w:rPr>
              <w:br w:type="textWrapping"/>
            </w:r>
            <w:r>
              <w:rPr>
                <w:rFonts w:hint="default" w:ascii="Times New Roman" w:hAnsi="Times New Roman" w:cs="Times New Roman" w:eastAsiaTheme="minorEastAsia"/>
                <w:color w:val="auto"/>
                <w:kern w:val="0"/>
                <w:sz w:val="18"/>
                <w:szCs w:val="18"/>
                <w:highlight w:val="none"/>
              </w:rPr>
              <w:t>2.《东莞市燃气管理办法》第二十条第五项：“燃气经营企业在从事燃气经营活动的过程中，应当遵守下列规定：（五）不得向未取得燃气经营许可证的经营者提供用于经营的燃气；”</w:t>
            </w:r>
          </w:p>
        </w:tc>
        <w:tc>
          <w:tcPr>
            <w:tcW w:w="1314" w:type="pct"/>
            <w:gridSpan w:val="2"/>
            <w:vMerge w:val="restart"/>
            <w:shd w:val="clear" w:color="auto" w:fill="auto"/>
            <w:tcMar>
              <w:top w:w="15" w:type="dxa"/>
              <w:left w:w="15" w:type="dxa"/>
              <w:right w:w="15" w:type="dxa"/>
            </w:tcMar>
            <w:vAlign w:val="center"/>
          </w:tcPr>
          <w:p w14:paraId="432237F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1.《城镇燃气管理条例》第四十六条</w:t>
            </w:r>
            <w:r>
              <w:rPr>
                <w:rFonts w:hint="default" w:ascii="Times New Roman" w:hAnsi="Times New Roman" w:cs="Times New Roman" w:eastAsiaTheme="minorEastAsia"/>
                <w:color w:val="auto"/>
                <w:kern w:val="0"/>
                <w:sz w:val="18"/>
                <w:szCs w:val="18"/>
                <w:highlight w:val="none"/>
                <w:lang w:eastAsia="zh-CN"/>
              </w:rPr>
              <w:t>第四项</w:t>
            </w:r>
            <w:r>
              <w:rPr>
                <w:rFonts w:hint="default" w:ascii="Times New Roman" w:hAnsi="Times New Roman" w:cs="Times New Roman" w:eastAsiaTheme="minorEastAsia"/>
                <w:color w:val="auto"/>
                <w:kern w:val="0"/>
                <w:sz w:val="18"/>
                <w:szCs w:val="18"/>
                <w:highlight w:val="none"/>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四）向未取得燃气经营许可证的单位或者个人提供用于经营的燃气的；”</w:t>
            </w:r>
            <w:r>
              <w:rPr>
                <w:rFonts w:hint="default" w:ascii="Times New Roman" w:hAnsi="Times New Roman" w:cs="Times New Roman" w:eastAsiaTheme="minorEastAsia"/>
                <w:color w:val="auto"/>
                <w:kern w:val="0"/>
                <w:sz w:val="18"/>
                <w:szCs w:val="18"/>
                <w:highlight w:val="none"/>
              </w:rPr>
              <w:br w:type="textWrapping"/>
            </w:r>
            <w:r>
              <w:rPr>
                <w:rFonts w:hint="default" w:ascii="Times New Roman" w:hAnsi="Times New Roman" w:cs="Times New Roman" w:eastAsiaTheme="minorEastAsia"/>
                <w:color w:val="auto"/>
                <w:kern w:val="0"/>
                <w:sz w:val="18"/>
                <w:szCs w:val="18"/>
                <w:highlight w:val="none"/>
              </w:rPr>
              <w:t>2.《东莞市燃气管理办法》第五十二条：“违反本办法第二十条第二项、第四项、第五项、第七项及第八项规定的，由燃气行政主管部门根据《城镇燃气管理条例》第四十六条规定进行处罚。”</w:t>
            </w:r>
          </w:p>
        </w:tc>
        <w:tc>
          <w:tcPr>
            <w:tcW w:w="177" w:type="pct"/>
            <w:gridSpan w:val="2"/>
            <w:shd w:val="clear" w:color="auto" w:fill="auto"/>
            <w:tcMar>
              <w:top w:w="15" w:type="dxa"/>
              <w:left w:w="15" w:type="dxa"/>
              <w:right w:w="15" w:type="dxa"/>
            </w:tcMar>
            <w:vAlign w:val="center"/>
          </w:tcPr>
          <w:p w14:paraId="4646393C">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6C62AF47">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提供燃气</w:t>
            </w:r>
            <w:r>
              <w:rPr>
                <w:rFonts w:hint="default" w:ascii="Times New Roman" w:hAnsi="Times New Roman" w:cs="Times New Roman" w:eastAsiaTheme="minorEastAsia"/>
                <w:color w:val="auto"/>
                <w:kern w:val="0"/>
                <w:sz w:val="18"/>
                <w:szCs w:val="18"/>
                <w:highlight w:val="none"/>
                <w:lang w:val="en-US" w:eastAsia="zh-CN"/>
              </w:rPr>
              <w:t>500</w:t>
            </w:r>
            <w:r>
              <w:rPr>
                <w:rFonts w:hint="default" w:ascii="Times New Roman" w:hAnsi="Times New Roman" w:cs="Times New Roman" w:eastAsiaTheme="minorEastAsia"/>
                <w:color w:val="auto"/>
                <w:kern w:val="0"/>
                <w:sz w:val="18"/>
                <w:szCs w:val="18"/>
                <w:highlight w:val="none"/>
              </w:rPr>
              <w:t>立方米</w:t>
            </w:r>
            <w:r>
              <w:rPr>
                <w:rFonts w:hint="default" w:ascii="Times New Roman" w:hAnsi="Times New Roman" w:cs="Times New Roman" w:eastAsiaTheme="minorEastAsia"/>
                <w:color w:val="auto"/>
                <w:kern w:val="0"/>
                <w:sz w:val="18"/>
                <w:szCs w:val="18"/>
                <w:highlight w:val="none"/>
                <w:lang w:eastAsia="zh-CN"/>
              </w:rPr>
              <w:t>以下</w:t>
            </w:r>
            <w:r>
              <w:rPr>
                <w:rFonts w:hint="eastAsia" w:ascii="Times New Roman" w:hAnsi="Times New Roman" w:cs="Times New Roman"/>
                <w:color w:val="auto"/>
                <w:kern w:val="0"/>
                <w:sz w:val="18"/>
                <w:szCs w:val="18"/>
                <w:highlight w:val="none"/>
                <w:lang w:eastAsia="zh-CN"/>
              </w:rPr>
              <w:t>（天然气）</w:t>
            </w:r>
            <w:r>
              <w:rPr>
                <w:rFonts w:hint="default" w:ascii="Times New Roman" w:hAnsi="Times New Roman" w:cs="Times New Roman" w:eastAsiaTheme="minorEastAsia"/>
                <w:color w:val="auto"/>
                <w:kern w:val="0"/>
                <w:sz w:val="18"/>
                <w:szCs w:val="18"/>
                <w:highlight w:val="none"/>
                <w:lang w:eastAsia="zh-CN"/>
              </w:rPr>
              <w:t>；</w:t>
            </w:r>
          </w:p>
          <w:p w14:paraId="1B83F581">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提供燃气100</w:t>
            </w:r>
            <w:r>
              <w:rPr>
                <w:rFonts w:hint="default" w:ascii="Times New Roman" w:hAnsi="Times New Roman" w:cs="Times New Roman" w:eastAsiaTheme="minorEastAsia"/>
                <w:color w:val="auto"/>
                <w:kern w:val="0"/>
                <w:sz w:val="18"/>
                <w:szCs w:val="18"/>
                <w:highlight w:val="none"/>
                <w:lang w:val="en-US"/>
              </w:rPr>
              <w:t>瓶</w:t>
            </w:r>
            <w:r>
              <w:rPr>
                <w:rFonts w:hint="default" w:ascii="Times New Roman" w:hAnsi="Times New Roman" w:cs="Times New Roman" w:eastAsiaTheme="minorEastAsia"/>
                <w:color w:val="auto"/>
                <w:kern w:val="0"/>
                <w:sz w:val="18"/>
                <w:szCs w:val="18"/>
                <w:highlight w:val="none"/>
                <w:lang w:eastAsia="zh-CN"/>
              </w:rPr>
              <w:t>以下</w:t>
            </w:r>
            <w:r>
              <w:rPr>
                <w:rFonts w:hint="eastAsia" w:ascii="Times New Roman" w:hAnsi="Times New Roman" w:cs="Times New Roman"/>
                <w:color w:val="auto"/>
                <w:kern w:val="0"/>
                <w:sz w:val="18"/>
                <w:szCs w:val="18"/>
                <w:highlight w:val="none"/>
                <w:lang w:val="en-US" w:eastAsia="zh-CN"/>
              </w:rPr>
              <w:t>（液化石油气）</w:t>
            </w:r>
          </w:p>
        </w:tc>
        <w:tc>
          <w:tcPr>
            <w:tcW w:w="545" w:type="pct"/>
            <w:gridSpan w:val="2"/>
            <w:shd w:val="clear" w:color="auto" w:fill="auto"/>
            <w:tcMar>
              <w:top w:w="15" w:type="dxa"/>
              <w:left w:w="15" w:type="dxa"/>
              <w:right w:w="15" w:type="dxa"/>
            </w:tcMar>
            <w:vAlign w:val="center"/>
          </w:tcPr>
          <w:p w14:paraId="07622B0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1万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3.7万</w:t>
            </w:r>
            <w:r>
              <w:rPr>
                <w:rFonts w:hint="default" w:ascii="Times New Roman" w:hAnsi="Times New Roman" w:cs="Times New Roman" w:eastAsiaTheme="minorEastAsia"/>
                <w:color w:val="auto"/>
                <w:kern w:val="0"/>
                <w:sz w:val="18"/>
                <w:szCs w:val="18"/>
                <w:highlight w:val="none"/>
              </w:rPr>
              <w:t>元以下罚款；有违法所得的，没收违法所得；情节严重的，吊销燃气经营许可证</w:t>
            </w:r>
          </w:p>
        </w:tc>
        <w:tc>
          <w:tcPr>
            <w:tcW w:w="260" w:type="pct"/>
            <w:gridSpan w:val="3"/>
            <w:vMerge w:val="restart"/>
            <w:shd w:val="clear" w:color="auto" w:fill="auto"/>
            <w:tcMar>
              <w:top w:w="15" w:type="dxa"/>
              <w:left w:w="15" w:type="dxa"/>
              <w:right w:w="15" w:type="dxa"/>
            </w:tcMar>
            <w:vAlign w:val="center"/>
          </w:tcPr>
          <w:p w14:paraId="66857086">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责令限期改正；造成损失的，依法承担赔偿责任；构成犯罪的，依法追究刑事责任</w:t>
            </w:r>
          </w:p>
          <w:p w14:paraId="76AFE620">
            <w:pPr>
              <w:widowControl/>
              <w:shd w:val="clear"/>
              <w:jc w:val="left"/>
              <w:textAlignment w:val="center"/>
              <w:rPr>
                <w:rFonts w:hint="default" w:ascii="Times New Roman" w:hAnsi="Times New Roman" w:cs="Times New Roman" w:eastAsiaTheme="minorEastAsia"/>
                <w:color w:val="auto"/>
                <w:sz w:val="18"/>
                <w:szCs w:val="18"/>
                <w:highlight w:val="none"/>
              </w:rPr>
            </w:pPr>
          </w:p>
          <w:p w14:paraId="45E4FC98">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1053DFE5">
            <w:pPr>
              <w:shd w:val="clear"/>
              <w:jc w:val="left"/>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strike w:val="0"/>
                <w:color w:val="auto"/>
                <w:sz w:val="18"/>
                <w:szCs w:val="18"/>
                <w:highlight w:val="none"/>
                <w:lang w:val="en-US" w:eastAsia="zh-CN"/>
              </w:rPr>
              <w:t>此处气瓶为15公斤规格，其它规格请折算适用</w:t>
            </w:r>
          </w:p>
        </w:tc>
      </w:tr>
      <w:tr w14:paraId="4A09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2477" w:hRule="atLeast"/>
        </w:trPr>
        <w:tc>
          <w:tcPr>
            <w:tcW w:w="116" w:type="pct"/>
            <w:vMerge w:val="continue"/>
            <w:shd w:val="clear" w:color="auto" w:fill="auto"/>
            <w:tcMar>
              <w:top w:w="15" w:type="dxa"/>
              <w:left w:w="15" w:type="dxa"/>
              <w:right w:w="15" w:type="dxa"/>
            </w:tcMar>
            <w:vAlign w:val="center"/>
          </w:tcPr>
          <w:p w14:paraId="475C009F">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3FAE358F">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4FA9A19E">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68BE1936">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44D78499">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4CABD808">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提供燃气</w:t>
            </w:r>
            <w:r>
              <w:rPr>
                <w:rFonts w:hint="default" w:ascii="Times New Roman" w:hAnsi="Times New Roman" w:cs="Times New Roman" w:eastAsiaTheme="minorEastAsia"/>
                <w:color w:val="auto"/>
                <w:kern w:val="0"/>
                <w:sz w:val="18"/>
                <w:szCs w:val="18"/>
                <w:highlight w:val="none"/>
                <w:lang w:val="en-US" w:eastAsia="zh-CN"/>
              </w:rPr>
              <w:t>500</w:t>
            </w:r>
            <w:r>
              <w:rPr>
                <w:rFonts w:hint="default" w:ascii="Times New Roman" w:hAnsi="Times New Roman" w:cs="Times New Roman" w:eastAsiaTheme="minorEastAsia"/>
                <w:color w:val="auto"/>
                <w:kern w:val="0"/>
                <w:sz w:val="18"/>
                <w:szCs w:val="18"/>
                <w:highlight w:val="none"/>
              </w:rPr>
              <w:t>立方米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lang w:val="en-US" w:eastAsia="zh-CN"/>
              </w:rPr>
              <w:t>1000</w:t>
            </w:r>
            <w:r>
              <w:rPr>
                <w:rFonts w:hint="default" w:ascii="Times New Roman" w:hAnsi="Times New Roman" w:cs="Times New Roman" w:eastAsiaTheme="minorEastAsia"/>
                <w:color w:val="auto"/>
                <w:kern w:val="0"/>
                <w:sz w:val="18"/>
                <w:szCs w:val="18"/>
                <w:highlight w:val="none"/>
              </w:rPr>
              <w:t>立方米</w:t>
            </w:r>
            <w:r>
              <w:rPr>
                <w:rFonts w:hint="default" w:ascii="Times New Roman" w:hAnsi="Times New Roman" w:cs="Times New Roman" w:eastAsiaTheme="minorEastAsia"/>
                <w:color w:val="auto"/>
                <w:kern w:val="0"/>
                <w:sz w:val="18"/>
                <w:szCs w:val="18"/>
                <w:highlight w:val="none"/>
                <w:lang w:eastAsia="zh-CN"/>
              </w:rPr>
              <w:t>以下</w:t>
            </w:r>
            <w:r>
              <w:rPr>
                <w:rFonts w:hint="eastAsia" w:ascii="Times New Roman" w:hAnsi="Times New Roman" w:cs="Times New Roman"/>
                <w:color w:val="auto"/>
                <w:kern w:val="0"/>
                <w:sz w:val="18"/>
                <w:szCs w:val="18"/>
                <w:highlight w:val="none"/>
                <w:lang w:eastAsia="zh-CN"/>
              </w:rPr>
              <w:t>（天然气）</w:t>
            </w:r>
            <w:r>
              <w:rPr>
                <w:rFonts w:hint="default" w:ascii="Times New Roman" w:hAnsi="Times New Roman" w:cs="Times New Roman" w:eastAsiaTheme="minorEastAsia"/>
                <w:color w:val="auto"/>
                <w:kern w:val="0"/>
                <w:sz w:val="18"/>
                <w:szCs w:val="18"/>
                <w:highlight w:val="none"/>
                <w:lang w:eastAsia="zh-CN"/>
              </w:rPr>
              <w:t>；</w:t>
            </w:r>
          </w:p>
          <w:p w14:paraId="421FC49B">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提供燃气</w:t>
            </w:r>
            <w:r>
              <w:rPr>
                <w:rFonts w:hint="default" w:ascii="Times New Roman" w:hAnsi="Times New Roman" w:cs="Times New Roman" w:eastAsiaTheme="minorEastAsia"/>
                <w:color w:val="auto"/>
                <w:kern w:val="0"/>
                <w:sz w:val="18"/>
                <w:szCs w:val="18"/>
                <w:highlight w:val="none"/>
                <w:lang w:val="en-US" w:eastAsia="zh-CN"/>
              </w:rPr>
              <w:t>100瓶以上150瓶以下</w:t>
            </w:r>
            <w:r>
              <w:rPr>
                <w:rFonts w:hint="eastAsia" w:ascii="Times New Roman" w:hAnsi="Times New Roman" w:cs="Times New Roman"/>
                <w:color w:val="auto"/>
                <w:kern w:val="0"/>
                <w:sz w:val="18"/>
                <w:szCs w:val="18"/>
                <w:highlight w:val="none"/>
                <w:lang w:val="en-US" w:eastAsia="zh-CN"/>
              </w:rPr>
              <w:t>（液化石油气）</w:t>
            </w:r>
          </w:p>
        </w:tc>
        <w:tc>
          <w:tcPr>
            <w:tcW w:w="545" w:type="pct"/>
            <w:gridSpan w:val="2"/>
            <w:shd w:val="clear" w:color="auto" w:fill="auto"/>
            <w:tcMar>
              <w:top w:w="15" w:type="dxa"/>
              <w:left w:w="15" w:type="dxa"/>
              <w:right w:w="15" w:type="dxa"/>
            </w:tcMar>
            <w:vAlign w:val="center"/>
          </w:tcPr>
          <w:p w14:paraId="3B990EA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3.7万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7.3万</w:t>
            </w:r>
            <w:r>
              <w:rPr>
                <w:rFonts w:hint="default" w:ascii="Times New Roman" w:hAnsi="Times New Roman" w:cs="Times New Roman" w:eastAsiaTheme="minorEastAsia"/>
                <w:color w:val="auto"/>
                <w:kern w:val="0"/>
                <w:sz w:val="18"/>
                <w:szCs w:val="18"/>
                <w:highlight w:val="none"/>
              </w:rPr>
              <w:t>元以下罚款；有违法所得的，没收违法所得；情节严重的，吊销燃气经营许可证</w:t>
            </w:r>
          </w:p>
        </w:tc>
        <w:tc>
          <w:tcPr>
            <w:tcW w:w="260" w:type="pct"/>
            <w:gridSpan w:val="3"/>
            <w:vMerge w:val="continue"/>
            <w:shd w:val="clear" w:color="auto" w:fill="auto"/>
            <w:tcMar>
              <w:top w:w="15" w:type="dxa"/>
              <w:left w:w="15" w:type="dxa"/>
              <w:right w:w="15" w:type="dxa"/>
            </w:tcMar>
            <w:vAlign w:val="center"/>
          </w:tcPr>
          <w:p w14:paraId="6E17D4FD">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63E20ADC">
            <w:pPr>
              <w:shd w:val="clear"/>
              <w:jc w:val="left"/>
              <w:rPr>
                <w:rFonts w:hint="default" w:ascii="Times New Roman" w:hAnsi="Times New Roman" w:cs="Times New Roman" w:eastAsiaTheme="minorEastAsia"/>
                <w:color w:val="auto"/>
                <w:sz w:val="18"/>
                <w:szCs w:val="18"/>
                <w:highlight w:val="none"/>
              </w:rPr>
            </w:pPr>
          </w:p>
        </w:tc>
      </w:tr>
      <w:tr w14:paraId="1CD5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770" w:hRule="atLeast"/>
        </w:trPr>
        <w:tc>
          <w:tcPr>
            <w:tcW w:w="116" w:type="pct"/>
            <w:vMerge w:val="continue"/>
            <w:shd w:val="clear" w:color="auto" w:fill="auto"/>
            <w:tcMar>
              <w:top w:w="15" w:type="dxa"/>
              <w:left w:w="15" w:type="dxa"/>
              <w:right w:w="15" w:type="dxa"/>
            </w:tcMar>
            <w:vAlign w:val="center"/>
          </w:tcPr>
          <w:p w14:paraId="2C6B019E">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0A184D48">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651FB0CC">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35DF5FEE">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05168EF2">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42B2FFFF">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提供燃气</w:t>
            </w:r>
            <w:r>
              <w:rPr>
                <w:rFonts w:hint="default" w:ascii="Times New Roman" w:hAnsi="Times New Roman" w:cs="Times New Roman" w:eastAsiaTheme="minorEastAsia"/>
                <w:color w:val="auto"/>
                <w:kern w:val="0"/>
                <w:sz w:val="18"/>
                <w:szCs w:val="18"/>
                <w:highlight w:val="none"/>
                <w:lang w:val="en-US" w:eastAsia="zh-CN"/>
              </w:rPr>
              <w:t>1000</w:t>
            </w:r>
            <w:r>
              <w:rPr>
                <w:rFonts w:hint="default" w:ascii="Times New Roman" w:hAnsi="Times New Roman" w:cs="Times New Roman" w:eastAsiaTheme="minorEastAsia"/>
                <w:color w:val="auto"/>
                <w:kern w:val="0"/>
                <w:sz w:val="18"/>
                <w:szCs w:val="18"/>
                <w:highlight w:val="none"/>
              </w:rPr>
              <w:t>立方米</w:t>
            </w:r>
            <w:r>
              <w:rPr>
                <w:rFonts w:hint="default" w:ascii="Times New Roman" w:hAnsi="Times New Roman" w:cs="Times New Roman" w:eastAsiaTheme="minorEastAsia"/>
                <w:color w:val="auto"/>
                <w:kern w:val="0"/>
                <w:sz w:val="18"/>
                <w:szCs w:val="18"/>
                <w:highlight w:val="none"/>
                <w:lang w:eastAsia="zh-CN"/>
              </w:rPr>
              <w:t>以上</w:t>
            </w:r>
            <w:r>
              <w:rPr>
                <w:rFonts w:hint="eastAsia" w:ascii="Times New Roman" w:hAnsi="Times New Roman" w:cs="Times New Roman"/>
                <w:color w:val="auto"/>
                <w:kern w:val="0"/>
                <w:sz w:val="18"/>
                <w:szCs w:val="18"/>
                <w:highlight w:val="none"/>
                <w:lang w:eastAsia="zh-CN"/>
              </w:rPr>
              <w:t>（天然气）</w:t>
            </w:r>
            <w:r>
              <w:rPr>
                <w:rFonts w:hint="default" w:ascii="Times New Roman" w:hAnsi="Times New Roman" w:cs="Times New Roman" w:eastAsiaTheme="minorEastAsia"/>
                <w:color w:val="auto"/>
                <w:kern w:val="0"/>
                <w:sz w:val="18"/>
                <w:szCs w:val="18"/>
                <w:highlight w:val="none"/>
                <w:lang w:eastAsia="zh-CN"/>
              </w:rPr>
              <w:t>；</w:t>
            </w:r>
          </w:p>
          <w:p w14:paraId="67D50DEA">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提供燃气</w:t>
            </w:r>
            <w:r>
              <w:rPr>
                <w:rFonts w:hint="default" w:ascii="Times New Roman" w:hAnsi="Times New Roman" w:cs="Times New Roman" w:eastAsiaTheme="minorEastAsia"/>
                <w:color w:val="auto"/>
                <w:kern w:val="0"/>
                <w:sz w:val="18"/>
                <w:szCs w:val="18"/>
                <w:highlight w:val="none"/>
                <w:lang w:val="en-US" w:eastAsia="zh-CN"/>
              </w:rPr>
              <w:t>150</w:t>
            </w:r>
            <w:r>
              <w:rPr>
                <w:rFonts w:hint="default" w:ascii="Times New Roman" w:hAnsi="Times New Roman" w:cs="Times New Roman" w:eastAsiaTheme="minorEastAsia"/>
                <w:color w:val="auto"/>
                <w:kern w:val="0"/>
                <w:sz w:val="18"/>
                <w:szCs w:val="18"/>
                <w:highlight w:val="none"/>
                <w:lang w:val="en-US"/>
              </w:rPr>
              <w:t>瓶</w:t>
            </w:r>
            <w:r>
              <w:rPr>
                <w:rFonts w:hint="default" w:ascii="Times New Roman" w:hAnsi="Times New Roman" w:cs="Times New Roman" w:eastAsiaTheme="minorEastAsia"/>
                <w:color w:val="auto"/>
                <w:kern w:val="0"/>
                <w:sz w:val="18"/>
                <w:szCs w:val="18"/>
                <w:highlight w:val="none"/>
                <w:lang w:eastAsia="zh-CN"/>
              </w:rPr>
              <w:t>以上</w:t>
            </w:r>
            <w:r>
              <w:rPr>
                <w:rFonts w:hint="eastAsia" w:ascii="Times New Roman" w:hAnsi="Times New Roman" w:cs="Times New Roman"/>
                <w:color w:val="auto"/>
                <w:kern w:val="0"/>
                <w:sz w:val="18"/>
                <w:szCs w:val="18"/>
                <w:highlight w:val="none"/>
                <w:lang w:val="en-US" w:eastAsia="zh-CN"/>
              </w:rPr>
              <w:t>（液化石油气）</w:t>
            </w:r>
          </w:p>
        </w:tc>
        <w:tc>
          <w:tcPr>
            <w:tcW w:w="545" w:type="pct"/>
            <w:gridSpan w:val="2"/>
            <w:shd w:val="clear" w:color="auto" w:fill="auto"/>
            <w:tcMar>
              <w:top w:w="15" w:type="dxa"/>
              <w:left w:w="15" w:type="dxa"/>
              <w:right w:w="15" w:type="dxa"/>
            </w:tcMar>
            <w:vAlign w:val="center"/>
          </w:tcPr>
          <w:p w14:paraId="73CAA93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7.3万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10万</w:t>
            </w:r>
            <w:r>
              <w:rPr>
                <w:rFonts w:hint="default" w:ascii="Times New Roman" w:hAnsi="Times New Roman" w:cs="Times New Roman" w:eastAsiaTheme="minorEastAsia"/>
                <w:color w:val="auto"/>
                <w:kern w:val="0"/>
                <w:sz w:val="18"/>
                <w:szCs w:val="18"/>
                <w:highlight w:val="none"/>
              </w:rPr>
              <w:t>元以下罚款；有违法所得的，没收违法所得；</w:t>
            </w:r>
            <w:r>
              <w:rPr>
                <w:rFonts w:hint="default" w:ascii="Times New Roman" w:hAnsi="Times New Roman" w:cs="Times New Roman" w:eastAsiaTheme="minorEastAsia"/>
                <w:color w:val="auto"/>
                <w:kern w:val="0"/>
                <w:sz w:val="18"/>
                <w:szCs w:val="18"/>
                <w:highlight w:val="none"/>
                <w:lang w:eastAsia="zh-CN"/>
              </w:rPr>
              <w:t>情节严重的，</w:t>
            </w:r>
            <w:r>
              <w:rPr>
                <w:rFonts w:hint="default" w:ascii="Times New Roman" w:hAnsi="Times New Roman" w:cs="Times New Roman" w:eastAsiaTheme="minorEastAsia"/>
                <w:color w:val="auto"/>
                <w:kern w:val="0"/>
                <w:sz w:val="18"/>
                <w:szCs w:val="18"/>
                <w:highlight w:val="none"/>
              </w:rPr>
              <w:t>吊销燃气经营许可证</w:t>
            </w:r>
          </w:p>
        </w:tc>
        <w:tc>
          <w:tcPr>
            <w:tcW w:w="260" w:type="pct"/>
            <w:gridSpan w:val="3"/>
            <w:vMerge w:val="continue"/>
            <w:shd w:val="clear" w:color="auto" w:fill="auto"/>
            <w:tcMar>
              <w:top w:w="15" w:type="dxa"/>
              <w:left w:w="15" w:type="dxa"/>
              <w:right w:w="15" w:type="dxa"/>
            </w:tcMar>
            <w:vAlign w:val="center"/>
          </w:tcPr>
          <w:p w14:paraId="08DAD8FF">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4749C91F">
            <w:pPr>
              <w:shd w:val="clear"/>
              <w:jc w:val="left"/>
              <w:rPr>
                <w:rFonts w:hint="default" w:ascii="Times New Roman" w:hAnsi="Times New Roman" w:cs="Times New Roman" w:eastAsiaTheme="minorEastAsia"/>
                <w:color w:val="auto"/>
                <w:sz w:val="18"/>
                <w:szCs w:val="18"/>
                <w:highlight w:val="none"/>
              </w:rPr>
            </w:pPr>
          </w:p>
        </w:tc>
      </w:tr>
      <w:tr w14:paraId="3156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90" w:hRule="atLeast"/>
        </w:trPr>
        <w:tc>
          <w:tcPr>
            <w:tcW w:w="116" w:type="pct"/>
            <w:vMerge w:val="restart"/>
            <w:shd w:val="clear" w:color="auto" w:fill="auto"/>
            <w:tcMar>
              <w:top w:w="15" w:type="dxa"/>
              <w:left w:w="15" w:type="dxa"/>
              <w:right w:w="15" w:type="dxa"/>
            </w:tcMar>
            <w:vAlign w:val="center"/>
          </w:tcPr>
          <w:p w14:paraId="69178DBF">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126</w:t>
            </w:r>
          </w:p>
        </w:tc>
        <w:tc>
          <w:tcPr>
            <w:tcW w:w="411" w:type="pct"/>
            <w:gridSpan w:val="2"/>
            <w:vMerge w:val="restart"/>
            <w:shd w:val="clear" w:color="auto" w:fill="auto"/>
            <w:tcMar>
              <w:top w:w="15" w:type="dxa"/>
              <w:left w:w="15" w:type="dxa"/>
              <w:right w:w="15" w:type="dxa"/>
            </w:tcMar>
            <w:vAlign w:val="center"/>
          </w:tcPr>
          <w:p w14:paraId="6BFDB453">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燃气经营者在不具备安全条件的场所储存燃气</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6198884E">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1.</w:t>
            </w:r>
            <w:r>
              <w:rPr>
                <w:rFonts w:hint="default" w:ascii="Times New Roman" w:hAnsi="Times New Roman" w:cs="Times New Roman" w:eastAsiaTheme="minorEastAsia"/>
                <w:color w:val="auto"/>
                <w:kern w:val="0"/>
                <w:sz w:val="18"/>
                <w:szCs w:val="18"/>
                <w:highlight w:val="none"/>
              </w:rPr>
              <w:t>《城镇燃气管理条例》第十八条</w:t>
            </w:r>
            <w:r>
              <w:rPr>
                <w:rFonts w:hint="default" w:ascii="Times New Roman" w:hAnsi="Times New Roman" w:cs="Times New Roman" w:eastAsiaTheme="minorEastAsia"/>
                <w:color w:val="auto"/>
                <w:kern w:val="0"/>
                <w:sz w:val="18"/>
                <w:szCs w:val="18"/>
                <w:highlight w:val="none"/>
                <w:lang w:eastAsia="zh-CN"/>
              </w:rPr>
              <w:t>第五项</w:t>
            </w:r>
            <w:r>
              <w:rPr>
                <w:rFonts w:hint="default" w:ascii="Times New Roman" w:hAnsi="Times New Roman" w:cs="Times New Roman" w:eastAsiaTheme="minorEastAsia"/>
                <w:color w:val="auto"/>
                <w:kern w:val="0"/>
                <w:sz w:val="18"/>
                <w:szCs w:val="18"/>
                <w:highlight w:val="none"/>
              </w:rPr>
              <w:t>：“燃气经营者不得有下列行为：（五）在不具备安全条件的场所储存燃气；”</w:t>
            </w:r>
          </w:p>
          <w:p w14:paraId="075FB9C0">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2.《东莞市燃气管理办法》第二十条第八项：“燃气经营企业在从事燃气经营活动的过程中，应当遵守下列规定：（八）不得在不具备安全条件的场所储存燃气；”</w:t>
            </w:r>
          </w:p>
        </w:tc>
        <w:tc>
          <w:tcPr>
            <w:tcW w:w="1314" w:type="pct"/>
            <w:gridSpan w:val="2"/>
            <w:vMerge w:val="restart"/>
            <w:shd w:val="clear" w:color="auto" w:fill="auto"/>
            <w:tcMar>
              <w:top w:w="15" w:type="dxa"/>
              <w:left w:w="15" w:type="dxa"/>
              <w:right w:w="15" w:type="dxa"/>
            </w:tcMar>
            <w:vAlign w:val="center"/>
          </w:tcPr>
          <w:p w14:paraId="44223267">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1.</w:t>
            </w:r>
            <w:r>
              <w:rPr>
                <w:rFonts w:hint="default" w:ascii="Times New Roman" w:hAnsi="Times New Roman" w:cs="Times New Roman" w:eastAsiaTheme="minorEastAsia"/>
                <w:color w:val="auto"/>
                <w:kern w:val="0"/>
                <w:sz w:val="18"/>
                <w:szCs w:val="18"/>
                <w:highlight w:val="none"/>
              </w:rPr>
              <w:t>《城镇燃气管理条例》第四十六条</w:t>
            </w:r>
            <w:r>
              <w:rPr>
                <w:rFonts w:hint="default" w:ascii="Times New Roman" w:hAnsi="Times New Roman" w:cs="Times New Roman" w:eastAsiaTheme="minorEastAsia"/>
                <w:color w:val="auto"/>
                <w:kern w:val="0"/>
                <w:sz w:val="18"/>
                <w:szCs w:val="18"/>
                <w:highlight w:val="none"/>
                <w:lang w:eastAsia="zh-CN"/>
              </w:rPr>
              <w:t>第五项</w:t>
            </w:r>
            <w:r>
              <w:rPr>
                <w:rFonts w:hint="default" w:ascii="Times New Roman" w:hAnsi="Times New Roman" w:cs="Times New Roman" w:eastAsiaTheme="minorEastAsia"/>
                <w:color w:val="auto"/>
                <w:kern w:val="0"/>
                <w:sz w:val="18"/>
                <w:szCs w:val="18"/>
                <w:highlight w:val="none"/>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五）在不具备安全条件的场所储存燃气的；”</w:t>
            </w:r>
          </w:p>
          <w:p w14:paraId="7E44DC1B">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2.《东莞市燃气管理办法》第五十二条：“违反本办法第二十条第二项、第四项、第五项、第七项及第八项规定的，由燃气行政主管部门根据《城镇燃气管理条例》第四十六条规定进行处罚。”</w:t>
            </w:r>
          </w:p>
        </w:tc>
        <w:tc>
          <w:tcPr>
            <w:tcW w:w="177" w:type="pct"/>
            <w:gridSpan w:val="2"/>
            <w:shd w:val="clear" w:color="auto" w:fill="auto"/>
            <w:tcMar>
              <w:top w:w="15" w:type="dxa"/>
              <w:left w:w="15" w:type="dxa"/>
              <w:right w:w="15" w:type="dxa"/>
            </w:tcMar>
            <w:vAlign w:val="center"/>
          </w:tcPr>
          <w:p w14:paraId="57870F53">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273621AA">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储存燃气</w:t>
            </w:r>
            <w:r>
              <w:rPr>
                <w:rFonts w:hint="default" w:ascii="Times New Roman" w:hAnsi="Times New Roman" w:cs="Times New Roman" w:eastAsiaTheme="minorEastAsia"/>
                <w:color w:val="auto"/>
                <w:kern w:val="0"/>
                <w:sz w:val="18"/>
                <w:szCs w:val="18"/>
                <w:highlight w:val="none"/>
                <w:lang w:val="en-US" w:eastAsia="zh-CN"/>
              </w:rPr>
              <w:t>20瓶以下</w:t>
            </w:r>
          </w:p>
        </w:tc>
        <w:tc>
          <w:tcPr>
            <w:tcW w:w="545" w:type="pct"/>
            <w:gridSpan w:val="2"/>
            <w:shd w:val="clear" w:color="auto" w:fill="auto"/>
            <w:tcMar>
              <w:top w:w="15" w:type="dxa"/>
              <w:left w:w="15" w:type="dxa"/>
              <w:right w:w="15" w:type="dxa"/>
            </w:tcMar>
            <w:vAlign w:val="center"/>
          </w:tcPr>
          <w:p w14:paraId="524B567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rPr>
              <w:t>1万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3.7</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元以下罚款；有违法所得的，没收违法所得；情节严重的，吊销燃气经营许可证</w:t>
            </w:r>
          </w:p>
        </w:tc>
        <w:tc>
          <w:tcPr>
            <w:tcW w:w="260" w:type="pct"/>
            <w:gridSpan w:val="3"/>
            <w:vMerge w:val="restart"/>
            <w:shd w:val="clear" w:color="auto" w:fill="auto"/>
            <w:tcMar>
              <w:top w:w="15" w:type="dxa"/>
              <w:left w:w="15" w:type="dxa"/>
              <w:right w:w="15" w:type="dxa"/>
            </w:tcMar>
            <w:vAlign w:val="center"/>
          </w:tcPr>
          <w:p w14:paraId="4D33137B">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责令限期改正；造成损失的，依法承担赔偿责任；构成犯罪的，依法追究刑事责任</w:t>
            </w:r>
          </w:p>
          <w:p w14:paraId="3489F47F">
            <w:pPr>
              <w:widowControl/>
              <w:shd w:val="clear"/>
              <w:jc w:val="left"/>
              <w:textAlignment w:val="center"/>
              <w:rPr>
                <w:rFonts w:hint="default" w:ascii="Times New Roman" w:hAnsi="Times New Roman" w:cs="Times New Roman" w:eastAsiaTheme="minorEastAsia"/>
                <w:color w:val="auto"/>
                <w:sz w:val="18"/>
                <w:szCs w:val="18"/>
                <w:highlight w:val="none"/>
              </w:rPr>
            </w:pPr>
          </w:p>
          <w:p w14:paraId="1A70B2B4">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27A5420E">
            <w:pPr>
              <w:shd w:val="clear"/>
              <w:jc w:val="left"/>
              <w:rPr>
                <w:rFonts w:hint="default" w:ascii="Times New Roman" w:hAnsi="Times New Roman" w:cs="Times New Roman" w:eastAsiaTheme="minorEastAsia"/>
                <w:strike w:val="0"/>
                <w:color w:val="auto"/>
                <w:sz w:val="18"/>
                <w:szCs w:val="18"/>
                <w:highlight w:val="none"/>
                <w:lang w:val="en-US" w:eastAsia="zh-CN"/>
              </w:rPr>
            </w:pPr>
            <w:r>
              <w:rPr>
                <w:rFonts w:hint="eastAsia" w:ascii="Times New Roman" w:hAnsi="Times New Roman" w:cs="Times New Roman"/>
                <w:strike w:val="0"/>
                <w:color w:val="auto"/>
                <w:sz w:val="18"/>
                <w:szCs w:val="18"/>
                <w:highlight w:val="none"/>
                <w:lang w:val="en-US" w:eastAsia="zh-CN"/>
              </w:rPr>
              <w:t>此处气瓶为15公斤规格，其它规格请折算适用</w:t>
            </w:r>
          </w:p>
        </w:tc>
      </w:tr>
      <w:tr w14:paraId="15B1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387" w:hRule="atLeast"/>
        </w:trPr>
        <w:tc>
          <w:tcPr>
            <w:tcW w:w="116" w:type="pct"/>
            <w:vMerge w:val="continue"/>
            <w:shd w:val="clear" w:color="auto" w:fill="auto"/>
            <w:tcMar>
              <w:top w:w="15" w:type="dxa"/>
              <w:left w:w="15" w:type="dxa"/>
              <w:right w:w="15" w:type="dxa"/>
            </w:tcMar>
            <w:vAlign w:val="center"/>
          </w:tcPr>
          <w:p w14:paraId="068D28D1">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5EB3A6AE">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7F71BD95">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35C7312C">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28FEEBE5">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484A07BD">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储存燃气</w:t>
            </w:r>
            <w:r>
              <w:rPr>
                <w:rFonts w:hint="default" w:ascii="Times New Roman" w:hAnsi="Times New Roman" w:cs="Times New Roman" w:eastAsiaTheme="minorEastAsia"/>
                <w:color w:val="auto"/>
                <w:kern w:val="0"/>
                <w:sz w:val="18"/>
                <w:szCs w:val="18"/>
                <w:highlight w:val="none"/>
                <w:lang w:val="en-US" w:eastAsia="zh-CN"/>
              </w:rPr>
              <w:t>20瓶以上50瓶以下</w:t>
            </w:r>
          </w:p>
        </w:tc>
        <w:tc>
          <w:tcPr>
            <w:tcW w:w="545" w:type="pct"/>
            <w:gridSpan w:val="2"/>
            <w:shd w:val="clear" w:color="auto" w:fill="auto"/>
            <w:tcMar>
              <w:top w:w="15" w:type="dxa"/>
              <w:left w:w="15" w:type="dxa"/>
              <w:right w:w="15" w:type="dxa"/>
            </w:tcMar>
            <w:vAlign w:val="center"/>
          </w:tcPr>
          <w:p w14:paraId="1AACC3B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3.7</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元以下罚款；有违法所得的，没收违法所得；情节严重的，吊销燃气经营许可证</w:t>
            </w:r>
          </w:p>
        </w:tc>
        <w:tc>
          <w:tcPr>
            <w:tcW w:w="260" w:type="pct"/>
            <w:gridSpan w:val="3"/>
            <w:vMerge w:val="continue"/>
            <w:shd w:val="clear" w:color="auto" w:fill="auto"/>
            <w:tcMar>
              <w:top w:w="15" w:type="dxa"/>
              <w:left w:w="15" w:type="dxa"/>
              <w:right w:w="15" w:type="dxa"/>
            </w:tcMar>
            <w:vAlign w:val="center"/>
          </w:tcPr>
          <w:p w14:paraId="62FA4E46">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53FC497B">
            <w:pPr>
              <w:shd w:val="clear"/>
              <w:jc w:val="left"/>
              <w:rPr>
                <w:rFonts w:hint="default" w:ascii="Times New Roman" w:hAnsi="Times New Roman" w:cs="Times New Roman" w:eastAsiaTheme="minorEastAsia"/>
                <w:color w:val="auto"/>
                <w:sz w:val="18"/>
                <w:szCs w:val="18"/>
                <w:highlight w:val="none"/>
              </w:rPr>
            </w:pPr>
          </w:p>
        </w:tc>
      </w:tr>
      <w:tr w14:paraId="088A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366" w:hRule="atLeast"/>
        </w:trPr>
        <w:tc>
          <w:tcPr>
            <w:tcW w:w="116" w:type="pct"/>
            <w:vMerge w:val="continue"/>
            <w:shd w:val="clear" w:color="auto" w:fill="auto"/>
            <w:tcMar>
              <w:top w:w="15" w:type="dxa"/>
              <w:left w:w="15" w:type="dxa"/>
              <w:right w:w="15" w:type="dxa"/>
            </w:tcMar>
            <w:vAlign w:val="center"/>
          </w:tcPr>
          <w:p w14:paraId="5BB01D2F">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0484BF6D">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07062218">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2D69C91D">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5B670EA2">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06B24417">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储存燃气</w:t>
            </w:r>
            <w:r>
              <w:rPr>
                <w:rFonts w:hint="default" w:ascii="Times New Roman" w:hAnsi="Times New Roman" w:cs="Times New Roman" w:eastAsiaTheme="minorEastAsia"/>
                <w:color w:val="auto"/>
                <w:kern w:val="0"/>
                <w:sz w:val="18"/>
                <w:szCs w:val="18"/>
                <w:highlight w:val="none"/>
                <w:lang w:val="en-US" w:eastAsia="zh-CN"/>
              </w:rPr>
              <w:t>50瓶以上</w:t>
            </w:r>
          </w:p>
        </w:tc>
        <w:tc>
          <w:tcPr>
            <w:tcW w:w="545" w:type="pct"/>
            <w:gridSpan w:val="2"/>
            <w:shd w:val="clear" w:color="auto" w:fill="auto"/>
            <w:tcMar>
              <w:top w:w="15" w:type="dxa"/>
              <w:left w:w="15" w:type="dxa"/>
              <w:right w:w="15" w:type="dxa"/>
            </w:tcMar>
            <w:vAlign w:val="center"/>
          </w:tcPr>
          <w:p w14:paraId="0E2086CF">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7.3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元以下罚款；有违法所得的，没收违法所得；</w:t>
            </w:r>
            <w:r>
              <w:rPr>
                <w:rFonts w:hint="default" w:ascii="Times New Roman" w:hAnsi="Times New Roman" w:cs="Times New Roman" w:eastAsiaTheme="minorEastAsia"/>
                <w:color w:val="auto"/>
                <w:kern w:val="0"/>
                <w:sz w:val="18"/>
                <w:szCs w:val="18"/>
                <w:highlight w:val="none"/>
                <w:lang w:eastAsia="zh-CN"/>
              </w:rPr>
              <w:t>情节严重的，</w:t>
            </w:r>
            <w:r>
              <w:rPr>
                <w:rFonts w:hint="default" w:ascii="Times New Roman" w:hAnsi="Times New Roman" w:cs="Times New Roman" w:eastAsiaTheme="minorEastAsia"/>
                <w:color w:val="auto"/>
                <w:kern w:val="0"/>
                <w:sz w:val="18"/>
                <w:szCs w:val="18"/>
                <w:highlight w:val="none"/>
              </w:rPr>
              <w:t>吊销燃气经营许可证</w:t>
            </w:r>
          </w:p>
        </w:tc>
        <w:tc>
          <w:tcPr>
            <w:tcW w:w="260" w:type="pct"/>
            <w:gridSpan w:val="3"/>
            <w:vMerge w:val="continue"/>
            <w:shd w:val="clear" w:color="auto" w:fill="auto"/>
            <w:tcMar>
              <w:top w:w="15" w:type="dxa"/>
              <w:left w:w="15" w:type="dxa"/>
              <w:right w:w="15" w:type="dxa"/>
            </w:tcMar>
            <w:vAlign w:val="center"/>
          </w:tcPr>
          <w:p w14:paraId="364BCCF5">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52FDCC4C">
            <w:pPr>
              <w:shd w:val="clear"/>
              <w:jc w:val="left"/>
              <w:rPr>
                <w:rFonts w:hint="default" w:ascii="Times New Roman" w:hAnsi="Times New Roman" w:cs="Times New Roman" w:eastAsiaTheme="minorEastAsia"/>
                <w:color w:val="auto"/>
                <w:sz w:val="18"/>
                <w:szCs w:val="18"/>
                <w:highlight w:val="none"/>
              </w:rPr>
            </w:pPr>
          </w:p>
        </w:tc>
      </w:tr>
      <w:tr w14:paraId="2F40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265" w:hRule="atLeast"/>
        </w:trPr>
        <w:tc>
          <w:tcPr>
            <w:tcW w:w="116" w:type="pct"/>
            <w:vMerge w:val="restart"/>
            <w:shd w:val="clear" w:color="auto" w:fill="auto"/>
            <w:tcMar>
              <w:top w:w="15" w:type="dxa"/>
              <w:left w:w="15" w:type="dxa"/>
              <w:right w:w="15" w:type="dxa"/>
            </w:tcMar>
            <w:vAlign w:val="center"/>
          </w:tcPr>
          <w:p w14:paraId="4B8A8759">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127</w:t>
            </w:r>
          </w:p>
        </w:tc>
        <w:tc>
          <w:tcPr>
            <w:tcW w:w="411" w:type="pct"/>
            <w:gridSpan w:val="2"/>
            <w:vMerge w:val="restart"/>
            <w:shd w:val="clear" w:color="auto" w:fill="auto"/>
            <w:tcMar>
              <w:top w:w="15" w:type="dxa"/>
              <w:left w:w="15" w:type="dxa"/>
              <w:right w:w="15" w:type="dxa"/>
            </w:tcMar>
            <w:vAlign w:val="center"/>
          </w:tcPr>
          <w:p w14:paraId="0CE6637B">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要求燃气用户购买其指定的产品或者接受其提供的服务</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2B49469F">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1.</w:t>
            </w:r>
            <w:r>
              <w:rPr>
                <w:rFonts w:hint="default" w:ascii="Times New Roman" w:hAnsi="Times New Roman" w:cs="Times New Roman" w:eastAsiaTheme="minorEastAsia"/>
                <w:color w:val="auto"/>
                <w:kern w:val="0"/>
                <w:sz w:val="18"/>
                <w:szCs w:val="18"/>
                <w:highlight w:val="none"/>
              </w:rPr>
              <w:t>《城镇燃气管理条例》第十八条</w:t>
            </w:r>
            <w:r>
              <w:rPr>
                <w:rFonts w:hint="default" w:ascii="Times New Roman" w:hAnsi="Times New Roman" w:cs="Times New Roman" w:eastAsiaTheme="minorEastAsia"/>
                <w:color w:val="auto"/>
                <w:kern w:val="0"/>
                <w:sz w:val="18"/>
                <w:szCs w:val="18"/>
                <w:highlight w:val="none"/>
                <w:lang w:eastAsia="zh-CN"/>
              </w:rPr>
              <w:t>第六项</w:t>
            </w:r>
            <w:r>
              <w:rPr>
                <w:rFonts w:hint="default" w:ascii="Times New Roman" w:hAnsi="Times New Roman" w:cs="Times New Roman" w:eastAsiaTheme="minorEastAsia"/>
                <w:color w:val="auto"/>
                <w:kern w:val="0"/>
                <w:sz w:val="18"/>
                <w:szCs w:val="18"/>
                <w:highlight w:val="none"/>
              </w:rPr>
              <w:t>：“燃气经营者不得有下列行为：（六）要求燃气用户购买其指定的产品或者接受其提供的服务；”</w:t>
            </w:r>
          </w:p>
          <w:p w14:paraId="4E7BEFEC">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2.《东莞市燃气管理办法》第二十条第七项：“燃气经营企业在从事燃气经营活动的过程中，应当遵守下列规定：（七） 不得要求用户购买其指定的产品或者接受其提供的服务；”</w:t>
            </w:r>
          </w:p>
        </w:tc>
        <w:tc>
          <w:tcPr>
            <w:tcW w:w="1314" w:type="pct"/>
            <w:gridSpan w:val="2"/>
            <w:vMerge w:val="restart"/>
            <w:shd w:val="clear" w:color="auto" w:fill="auto"/>
            <w:tcMar>
              <w:top w:w="15" w:type="dxa"/>
              <w:left w:w="15" w:type="dxa"/>
              <w:right w:w="15" w:type="dxa"/>
            </w:tcMar>
            <w:vAlign w:val="center"/>
          </w:tcPr>
          <w:p w14:paraId="5BD25914">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1.</w:t>
            </w:r>
            <w:r>
              <w:rPr>
                <w:rFonts w:hint="default" w:ascii="Times New Roman" w:hAnsi="Times New Roman" w:cs="Times New Roman" w:eastAsiaTheme="minorEastAsia"/>
                <w:color w:val="auto"/>
                <w:kern w:val="0"/>
                <w:sz w:val="18"/>
                <w:szCs w:val="18"/>
                <w:highlight w:val="none"/>
              </w:rPr>
              <w:t>《城镇燃气管理条例》第四十六条</w:t>
            </w:r>
            <w:r>
              <w:rPr>
                <w:rFonts w:hint="default" w:ascii="Times New Roman" w:hAnsi="Times New Roman" w:cs="Times New Roman" w:eastAsiaTheme="minorEastAsia"/>
                <w:color w:val="auto"/>
                <w:kern w:val="0"/>
                <w:sz w:val="18"/>
                <w:szCs w:val="18"/>
                <w:highlight w:val="none"/>
                <w:lang w:eastAsia="zh-CN"/>
              </w:rPr>
              <w:t>第六项</w:t>
            </w:r>
            <w:r>
              <w:rPr>
                <w:rFonts w:hint="default" w:ascii="Times New Roman" w:hAnsi="Times New Roman" w:cs="Times New Roman" w:eastAsiaTheme="minorEastAsia"/>
                <w:color w:val="auto"/>
                <w:kern w:val="0"/>
                <w:sz w:val="18"/>
                <w:szCs w:val="18"/>
                <w:highlight w:val="none"/>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六）要求燃气用户购买其指定的产品或者接受其提供的服务；”</w:t>
            </w:r>
          </w:p>
          <w:p w14:paraId="4CDDBC18">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2.《东莞市燃气管理办法》第五十二条：“违反本办法第二十条第二项、第四项、第五项、第七项及第八项规定的，由燃气行政主管部门根据《城镇燃气管理条例》第四十六条规定进行处罚。”</w:t>
            </w:r>
          </w:p>
        </w:tc>
        <w:tc>
          <w:tcPr>
            <w:tcW w:w="177" w:type="pct"/>
            <w:gridSpan w:val="2"/>
            <w:shd w:val="clear" w:color="auto" w:fill="auto"/>
            <w:tcMar>
              <w:top w:w="15" w:type="dxa"/>
              <w:left w:w="15" w:type="dxa"/>
              <w:right w:w="15" w:type="dxa"/>
            </w:tcMar>
            <w:vAlign w:val="center"/>
          </w:tcPr>
          <w:p w14:paraId="265B7986">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2B10E3F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涉案金额1万元</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6D7A0F3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rPr>
              <w:t>1万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3.7</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元以下罚款；有违法所得的，没收违法所得；情节严重的，吊销燃气经营许可证</w:t>
            </w:r>
          </w:p>
        </w:tc>
        <w:tc>
          <w:tcPr>
            <w:tcW w:w="260" w:type="pct"/>
            <w:gridSpan w:val="3"/>
            <w:vMerge w:val="restart"/>
            <w:shd w:val="clear" w:color="auto" w:fill="auto"/>
            <w:tcMar>
              <w:top w:w="15" w:type="dxa"/>
              <w:left w:w="15" w:type="dxa"/>
              <w:right w:w="15" w:type="dxa"/>
            </w:tcMar>
            <w:vAlign w:val="center"/>
          </w:tcPr>
          <w:p w14:paraId="084D222D">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责令限期改正；造成损失的，依法承担赔偿责任；构成犯罪的，依法追究刑事责任</w:t>
            </w:r>
          </w:p>
          <w:p w14:paraId="0525A682">
            <w:pPr>
              <w:widowControl/>
              <w:shd w:val="clear"/>
              <w:jc w:val="left"/>
              <w:textAlignment w:val="center"/>
              <w:rPr>
                <w:rFonts w:hint="default" w:ascii="Times New Roman" w:hAnsi="Times New Roman" w:cs="Times New Roman" w:eastAsiaTheme="minorEastAsia"/>
                <w:color w:val="auto"/>
                <w:sz w:val="18"/>
                <w:szCs w:val="18"/>
                <w:highlight w:val="none"/>
              </w:rPr>
            </w:pPr>
          </w:p>
          <w:p w14:paraId="25E84476">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3C9F32CA">
            <w:pPr>
              <w:shd w:val="clear"/>
              <w:jc w:val="left"/>
              <w:rPr>
                <w:rFonts w:hint="default" w:ascii="Times New Roman" w:hAnsi="Times New Roman" w:cs="Times New Roman" w:eastAsiaTheme="minorEastAsia"/>
                <w:color w:val="auto"/>
                <w:sz w:val="18"/>
                <w:szCs w:val="18"/>
                <w:highlight w:val="none"/>
                <w:lang w:val="en-US" w:eastAsia="zh-CN"/>
              </w:rPr>
            </w:pPr>
          </w:p>
        </w:tc>
      </w:tr>
      <w:tr w14:paraId="2EE1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282" w:hRule="atLeast"/>
        </w:trPr>
        <w:tc>
          <w:tcPr>
            <w:tcW w:w="116" w:type="pct"/>
            <w:vMerge w:val="continue"/>
            <w:shd w:val="clear" w:color="auto" w:fill="auto"/>
            <w:tcMar>
              <w:top w:w="15" w:type="dxa"/>
              <w:left w:w="15" w:type="dxa"/>
              <w:right w:w="15" w:type="dxa"/>
            </w:tcMar>
            <w:vAlign w:val="center"/>
          </w:tcPr>
          <w:p w14:paraId="70CEA191">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550F0A4B">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45D0A0B3">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367C22E7">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4D1C7299">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489878A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涉案金额1万元</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5万元</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2CBB264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3.7</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元以下罚款；有违法所得的，没收违法所得；情节严重的，吊销燃气经营许可证</w:t>
            </w:r>
          </w:p>
        </w:tc>
        <w:tc>
          <w:tcPr>
            <w:tcW w:w="260" w:type="pct"/>
            <w:gridSpan w:val="3"/>
            <w:vMerge w:val="continue"/>
            <w:shd w:val="clear" w:color="auto" w:fill="auto"/>
            <w:tcMar>
              <w:top w:w="15" w:type="dxa"/>
              <w:left w:w="15" w:type="dxa"/>
              <w:right w:w="15" w:type="dxa"/>
            </w:tcMar>
            <w:vAlign w:val="center"/>
          </w:tcPr>
          <w:p w14:paraId="4CCD8155">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53BE59BF">
            <w:pPr>
              <w:shd w:val="clear"/>
              <w:jc w:val="left"/>
              <w:rPr>
                <w:rFonts w:hint="default" w:ascii="Times New Roman" w:hAnsi="Times New Roman" w:cs="Times New Roman" w:eastAsiaTheme="minorEastAsia"/>
                <w:color w:val="auto"/>
                <w:sz w:val="18"/>
                <w:szCs w:val="18"/>
                <w:highlight w:val="none"/>
              </w:rPr>
            </w:pPr>
          </w:p>
        </w:tc>
      </w:tr>
      <w:tr w14:paraId="0CC1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410" w:hRule="atLeast"/>
        </w:trPr>
        <w:tc>
          <w:tcPr>
            <w:tcW w:w="116" w:type="pct"/>
            <w:vMerge w:val="continue"/>
            <w:shd w:val="clear" w:color="auto" w:fill="auto"/>
            <w:tcMar>
              <w:top w:w="15" w:type="dxa"/>
              <w:left w:w="15" w:type="dxa"/>
              <w:right w:w="15" w:type="dxa"/>
            </w:tcMar>
            <w:vAlign w:val="center"/>
          </w:tcPr>
          <w:p w14:paraId="0EF049FC">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64467413">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0D1C38E3">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23308E23">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06FBFA72">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347E930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涉案金额5万元</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015E031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7.3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元以下罚款；有违法所得的，没收违法所得；</w:t>
            </w:r>
            <w:r>
              <w:rPr>
                <w:rFonts w:hint="default" w:ascii="Times New Roman" w:hAnsi="Times New Roman" w:cs="Times New Roman" w:eastAsiaTheme="minorEastAsia"/>
                <w:color w:val="auto"/>
                <w:kern w:val="0"/>
                <w:sz w:val="18"/>
                <w:szCs w:val="18"/>
                <w:highlight w:val="none"/>
                <w:lang w:eastAsia="zh-CN"/>
              </w:rPr>
              <w:t>情节严重的，</w:t>
            </w:r>
            <w:r>
              <w:rPr>
                <w:rFonts w:hint="default" w:ascii="Times New Roman" w:hAnsi="Times New Roman" w:cs="Times New Roman" w:eastAsiaTheme="minorEastAsia"/>
                <w:color w:val="auto"/>
                <w:kern w:val="0"/>
                <w:sz w:val="18"/>
                <w:szCs w:val="18"/>
                <w:highlight w:val="none"/>
              </w:rPr>
              <w:t>吊销燃气经营许可证</w:t>
            </w:r>
          </w:p>
        </w:tc>
        <w:tc>
          <w:tcPr>
            <w:tcW w:w="260" w:type="pct"/>
            <w:gridSpan w:val="3"/>
            <w:vMerge w:val="continue"/>
            <w:shd w:val="clear" w:color="auto" w:fill="auto"/>
            <w:tcMar>
              <w:top w:w="15" w:type="dxa"/>
              <w:left w:w="15" w:type="dxa"/>
              <w:right w:w="15" w:type="dxa"/>
            </w:tcMar>
            <w:vAlign w:val="center"/>
          </w:tcPr>
          <w:p w14:paraId="3DC86FE5">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43FC34EA">
            <w:pPr>
              <w:shd w:val="clear"/>
              <w:jc w:val="left"/>
              <w:rPr>
                <w:rFonts w:hint="default" w:ascii="Times New Roman" w:hAnsi="Times New Roman" w:cs="Times New Roman" w:eastAsiaTheme="minorEastAsia"/>
                <w:color w:val="auto"/>
                <w:sz w:val="18"/>
                <w:szCs w:val="18"/>
                <w:highlight w:val="none"/>
              </w:rPr>
            </w:pPr>
          </w:p>
        </w:tc>
      </w:tr>
      <w:tr w14:paraId="3FB6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679" w:hRule="atLeast"/>
        </w:trPr>
        <w:tc>
          <w:tcPr>
            <w:tcW w:w="116" w:type="pct"/>
            <w:vMerge w:val="restart"/>
            <w:shd w:val="clear" w:color="auto" w:fill="auto"/>
            <w:tcMar>
              <w:top w:w="15" w:type="dxa"/>
              <w:left w:w="15" w:type="dxa"/>
              <w:right w:w="15" w:type="dxa"/>
            </w:tcMar>
            <w:vAlign w:val="center"/>
          </w:tcPr>
          <w:p w14:paraId="39BC43D9">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128</w:t>
            </w:r>
          </w:p>
        </w:tc>
        <w:tc>
          <w:tcPr>
            <w:tcW w:w="411" w:type="pct"/>
            <w:gridSpan w:val="2"/>
            <w:vMerge w:val="restart"/>
            <w:shd w:val="clear" w:color="auto" w:fill="auto"/>
            <w:tcMar>
              <w:top w:w="15" w:type="dxa"/>
              <w:left w:w="15" w:type="dxa"/>
              <w:right w:w="15" w:type="dxa"/>
            </w:tcMar>
            <w:vAlign w:val="center"/>
          </w:tcPr>
          <w:p w14:paraId="12FF0A35">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销售充装单位擅自为非自有气瓶充装的瓶装燃气</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31B0C446">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1.</w:t>
            </w:r>
            <w:r>
              <w:rPr>
                <w:rFonts w:hint="default" w:ascii="Times New Roman" w:hAnsi="Times New Roman" w:cs="Times New Roman" w:eastAsiaTheme="minorEastAsia"/>
                <w:color w:val="auto"/>
                <w:kern w:val="0"/>
                <w:sz w:val="18"/>
                <w:szCs w:val="18"/>
                <w:highlight w:val="none"/>
              </w:rPr>
              <w:t>《城镇燃气管理条例》第十八条</w:t>
            </w:r>
            <w:r>
              <w:rPr>
                <w:rFonts w:hint="default" w:ascii="Times New Roman" w:hAnsi="Times New Roman" w:cs="Times New Roman" w:eastAsiaTheme="minorEastAsia"/>
                <w:color w:val="auto"/>
                <w:kern w:val="0"/>
                <w:sz w:val="18"/>
                <w:szCs w:val="18"/>
                <w:highlight w:val="none"/>
                <w:lang w:eastAsia="zh-CN"/>
              </w:rPr>
              <w:t>第八项</w:t>
            </w:r>
            <w:r>
              <w:rPr>
                <w:rFonts w:hint="default" w:ascii="Times New Roman" w:hAnsi="Times New Roman" w:cs="Times New Roman" w:eastAsiaTheme="minorEastAsia"/>
                <w:color w:val="auto"/>
                <w:kern w:val="0"/>
                <w:sz w:val="18"/>
                <w:szCs w:val="18"/>
                <w:highlight w:val="none"/>
              </w:rPr>
              <w:t>：“燃气经营者不得有下列行为：（八）销售未经许可的充装单位充装的瓶装燃气或者销售充装单位擅自为非自有气瓶充装的瓶装燃气；”</w:t>
            </w:r>
          </w:p>
          <w:p w14:paraId="0860DE0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2.《东莞市燃气管理办法》第二十二条第七项：“瓶装燃气经营企业除遵守本办法第二十条规定外，还应当遵守下列规定：（七）不得销售充装单位擅自为非自有气瓶充装的瓶装燃气；”</w:t>
            </w:r>
            <w:r>
              <w:rPr>
                <w:rFonts w:hint="default" w:ascii="Times New Roman" w:hAnsi="Times New Roman" w:cs="Times New Roman" w:eastAsiaTheme="minorEastAsia"/>
                <w:color w:val="auto"/>
                <w:kern w:val="0"/>
                <w:sz w:val="18"/>
                <w:szCs w:val="18"/>
                <w:highlight w:val="none"/>
              </w:rPr>
              <w:t xml:space="preserve">                           </w:t>
            </w:r>
          </w:p>
        </w:tc>
        <w:tc>
          <w:tcPr>
            <w:tcW w:w="1314" w:type="pct"/>
            <w:gridSpan w:val="2"/>
            <w:vMerge w:val="restart"/>
            <w:shd w:val="clear" w:color="auto" w:fill="auto"/>
            <w:tcMar>
              <w:top w:w="15" w:type="dxa"/>
              <w:left w:w="15" w:type="dxa"/>
              <w:right w:w="15" w:type="dxa"/>
            </w:tcMar>
            <w:vAlign w:val="center"/>
          </w:tcPr>
          <w:p w14:paraId="1AB9003C">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1.</w:t>
            </w:r>
            <w:r>
              <w:rPr>
                <w:rFonts w:hint="default" w:ascii="Times New Roman" w:hAnsi="Times New Roman" w:cs="Times New Roman" w:eastAsiaTheme="minorEastAsia"/>
                <w:color w:val="auto"/>
                <w:kern w:val="0"/>
                <w:sz w:val="18"/>
                <w:szCs w:val="18"/>
                <w:highlight w:val="none"/>
              </w:rPr>
              <w:t>《城镇燃气管理条例》第四十七条第二款：“ 违反本条例规定，销售充装单位擅自为非自有气瓶充装的瓶装燃气的，由燃气管理部门责令改正，可以处1万元以下罚款。”</w:t>
            </w:r>
          </w:p>
          <w:p w14:paraId="23CB70F8">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2.《东莞市燃气管理办法》 第五十三条第二款：“违反本办法第二十二条第六项至第八项规定的，由燃气行政主管部门责令改正，可以处1万元以下罚款。”</w:t>
            </w:r>
          </w:p>
        </w:tc>
        <w:tc>
          <w:tcPr>
            <w:tcW w:w="177" w:type="pct"/>
            <w:gridSpan w:val="2"/>
            <w:shd w:val="clear" w:color="auto" w:fill="auto"/>
            <w:tcMar>
              <w:top w:w="15" w:type="dxa"/>
              <w:left w:w="15" w:type="dxa"/>
              <w:right w:w="15" w:type="dxa"/>
            </w:tcMar>
            <w:vAlign w:val="center"/>
          </w:tcPr>
          <w:p w14:paraId="608D9FF1">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2FED6B72">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销售5瓶（次）</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112C04B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可以处3000元以下罚款</w:t>
            </w:r>
          </w:p>
        </w:tc>
        <w:tc>
          <w:tcPr>
            <w:tcW w:w="260" w:type="pct"/>
            <w:gridSpan w:val="3"/>
            <w:vMerge w:val="restart"/>
            <w:shd w:val="clear" w:color="auto" w:fill="auto"/>
            <w:tcMar>
              <w:top w:w="15" w:type="dxa"/>
              <w:left w:w="15" w:type="dxa"/>
              <w:right w:w="15" w:type="dxa"/>
            </w:tcMar>
            <w:vAlign w:val="center"/>
          </w:tcPr>
          <w:p w14:paraId="56736D07">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w:t>
            </w:r>
          </w:p>
          <w:p w14:paraId="57DBFA18">
            <w:pPr>
              <w:widowControl/>
              <w:shd w:val="clear"/>
              <w:jc w:val="left"/>
              <w:textAlignment w:val="center"/>
              <w:rPr>
                <w:rFonts w:hint="default" w:ascii="Times New Roman" w:hAnsi="Times New Roman" w:cs="Times New Roman" w:eastAsiaTheme="minorEastAsia"/>
                <w:color w:val="auto"/>
                <w:sz w:val="18"/>
                <w:szCs w:val="18"/>
                <w:highlight w:val="none"/>
              </w:rPr>
            </w:pPr>
          </w:p>
          <w:p w14:paraId="41E0CF63">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56003F67">
            <w:pPr>
              <w:shd w:val="clear"/>
              <w:jc w:val="left"/>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strike w:val="0"/>
                <w:color w:val="auto"/>
                <w:sz w:val="18"/>
                <w:szCs w:val="18"/>
                <w:highlight w:val="none"/>
                <w:lang w:val="en-US" w:eastAsia="zh-CN"/>
              </w:rPr>
              <w:t>此处气瓶为15公斤规格，其它规格请折算适用</w:t>
            </w:r>
          </w:p>
        </w:tc>
      </w:tr>
      <w:tr w14:paraId="2839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902" w:hRule="atLeast"/>
        </w:trPr>
        <w:tc>
          <w:tcPr>
            <w:tcW w:w="116" w:type="pct"/>
            <w:vMerge w:val="continue"/>
            <w:shd w:val="clear" w:color="auto" w:fill="auto"/>
            <w:tcMar>
              <w:top w:w="15" w:type="dxa"/>
              <w:left w:w="15" w:type="dxa"/>
              <w:right w:w="15" w:type="dxa"/>
            </w:tcMar>
            <w:vAlign w:val="center"/>
          </w:tcPr>
          <w:p w14:paraId="639E74CA">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2D6537AF">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5B6A9AEA">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67F7AA3C">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3C1FDDFA">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2B76A385">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销售5瓶（次）</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10瓶（次）</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2050EF47">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可以处3000元以上7000元以下罚款</w:t>
            </w:r>
          </w:p>
        </w:tc>
        <w:tc>
          <w:tcPr>
            <w:tcW w:w="260" w:type="pct"/>
            <w:gridSpan w:val="3"/>
            <w:vMerge w:val="continue"/>
            <w:shd w:val="clear" w:color="auto" w:fill="auto"/>
            <w:tcMar>
              <w:top w:w="15" w:type="dxa"/>
              <w:left w:w="15" w:type="dxa"/>
              <w:right w:w="15" w:type="dxa"/>
            </w:tcMar>
            <w:vAlign w:val="center"/>
          </w:tcPr>
          <w:p w14:paraId="7A478839">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437D02D9">
            <w:pPr>
              <w:shd w:val="clear"/>
              <w:jc w:val="left"/>
              <w:rPr>
                <w:rFonts w:hint="default" w:ascii="Times New Roman" w:hAnsi="Times New Roman" w:cs="Times New Roman" w:eastAsiaTheme="minorEastAsia"/>
                <w:color w:val="auto"/>
                <w:sz w:val="18"/>
                <w:szCs w:val="18"/>
                <w:highlight w:val="none"/>
              </w:rPr>
            </w:pPr>
          </w:p>
        </w:tc>
      </w:tr>
      <w:tr w14:paraId="2F79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801" w:hRule="atLeast"/>
        </w:trPr>
        <w:tc>
          <w:tcPr>
            <w:tcW w:w="116" w:type="pct"/>
            <w:vMerge w:val="continue"/>
            <w:shd w:val="clear" w:color="auto" w:fill="auto"/>
            <w:tcMar>
              <w:top w:w="15" w:type="dxa"/>
              <w:left w:w="15" w:type="dxa"/>
              <w:right w:w="15" w:type="dxa"/>
            </w:tcMar>
            <w:vAlign w:val="center"/>
          </w:tcPr>
          <w:p w14:paraId="71D2EFE9">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7BC583C0">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547C3E44">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6CD06F5D">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33E36B66">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6527C3EE">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销售10瓶（次）</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09D2F917">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可以处7000元以上</w:t>
            </w:r>
            <w:r>
              <w:rPr>
                <w:rFonts w:hint="default" w:ascii="Times New Roman" w:hAnsi="Times New Roman" w:cs="Times New Roman" w:eastAsiaTheme="minorEastAsia"/>
                <w:color w:val="auto"/>
                <w:kern w:val="0"/>
                <w:sz w:val="18"/>
                <w:szCs w:val="18"/>
                <w:highlight w:val="none"/>
                <w:lang w:val="en-US"/>
              </w:rPr>
              <w:t>1万</w:t>
            </w:r>
            <w:r>
              <w:rPr>
                <w:rFonts w:hint="default" w:ascii="Times New Roman" w:hAnsi="Times New Roman" w:cs="Times New Roman" w:eastAsiaTheme="minorEastAsia"/>
                <w:color w:val="auto"/>
                <w:kern w:val="0"/>
                <w:sz w:val="18"/>
                <w:szCs w:val="18"/>
                <w:highlight w:val="none"/>
              </w:rPr>
              <w:t>元以下罚款</w:t>
            </w:r>
          </w:p>
        </w:tc>
        <w:tc>
          <w:tcPr>
            <w:tcW w:w="260" w:type="pct"/>
            <w:gridSpan w:val="3"/>
            <w:vMerge w:val="continue"/>
            <w:shd w:val="clear" w:color="auto" w:fill="auto"/>
            <w:tcMar>
              <w:top w:w="15" w:type="dxa"/>
              <w:left w:w="15" w:type="dxa"/>
              <w:right w:w="15" w:type="dxa"/>
            </w:tcMar>
            <w:vAlign w:val="center"/>
          </w:tcPr>
          <w:p w14:paraId="21F80254">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5F9F2CB7">
            <w:pPr>
              <w:shd w:val="clear"/>
              <w:jc w:val="left"/>
              <w:rPr>
                <w:rFonts w:hint="default" w:ascii="Times New Roman" w:hAnsi="Times New Roman" w:cs="Times New Roman" w:eastAsiaTheme="minorEastAsia"/>
                <w:color w:val="auto"/>
                <w:sz w:val="18"/>
                <w:szCs w:val="18"/>
                <w:highlight w:val="none"/>
              </w:rPr>
            </w:pPr>
          </w:p>
        </w:tc>
      </w:tr>
      <w:tr w14:paraId="5B88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020" w:hRule="atLeast"/>
        </w:trPr>
        <w:tc>
          <w:tcPr>
            <w:tcW w:w="116" w:type="pct"/>
            <w:vMerge w:val="restart"/>
            <w:shd w:val="clear" w:color="auto" w:fill="auto"/>
            <w:tcMar>
              <w:top w:w="15" w:type="dxa"/>
              <w:left w:w="15" w:type="dxa"/>
              <w:right w:w="15" w:type="dxa"/>
            </w:tcMar>
            <w:vAlign w:val="center"/>
          </w:tcPr>
          <w:p w14:paraId="2FDD9656">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129</w:t>
            </w:r>
          </w:p>
        </w:tc>
        <w:tc>
          <w:tcPr>
            <w:tcW w:w="411" w:type="pct"/>
            <w:gridSpan w:val="2"/>
            <w:vMerge w:val="restart"/>
            <w:shd w:val="clear" w:color="auto" w:fill="auto"/>
            <w:tcMar>
              <w:top w:w="15" w:type="dxa"/>
              <w:left w:w="15" w:type="dxa"/>
              <w:right w:w="15" w:type="dxa"/>
            </w:tcMar>
            <w:vAlign w:val="center"/>
          </w:tcPr>
          <w:p w14:paraId="7FFE8ABA">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擅自操作公用燃气阀门，逾期不改正</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4197F67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《城镇燃气管理条例》第二十八条</w:t>
            </w:r>
            <w:r>
              <w:rPr>
                <w:rFonts w:hint="default" w:ascii="Times New Roman" w:hAnsi="Times New Roman" w:cs="Times New Roman" w:eastAsiaTheme="minorEastAsia"/>
                <w:color w:val="auto"/>
                <w:kern w:val="0"/>
                <w:sz w:val="18"/>
                <w:szCs w:val="18"/>
                <w:highlight w:val="none"/>
                <w:lang w:eastAsia="zh-CN"/>
              </w:rPr>
              <w:t>第一项</w:t>
            </w:r>
            <w:r>
              <w:rPr>
                <w:rFonts w:hint="default" w:ascii="Times New Roman" w:hAnsi="Times New Roman" w:cs="Times New Roman" w:eastAsiaTheme="minorEastAsia"/>
                <w:color w:val="auto"/>
                <w:kern w:val="0"/>
                <w:sz w:val="18"/>
                <w:szCs w:val="18"/>
                <w:highlight w:val="none"/>
              </w:rPr>
              <w:t>：“燃气用户及相关单位和个人不得有下列行为：（一）擅自操作公用燃气阀门；”</w:t>
            </w:r>
          </w:p>
        </w:tc>
        <w:tc>
          <w:tcPr>
            <w:tcW w:w="1314" w:type="pct"/>
            <w:gridSpan w:val="2"/>
            <w:vMerge w:val="restart"/>
            <w:shd w:val="clear" w:color="auto" w:fill="auto"/>
            <w:tcMar>
              <w:top w:w="15" w:type="dxa"/>
              <w:left w:w="15" w:type="dxa"/>
              <w:right w:w="15" w:type="dxa"/>
            </w:tcMar>
            <w:vAlign w:val="center"/>
          </w:tcPr>
          <w:p w14:paraId="68E94EE7">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《城镇燃气管理条例》第四十九条第一款</w:t>
            </w:r>
            <w:r>
              <w:rPr>
                <w:rFonts w:hint="default" w:ascii="Times New Roman" w:hAnsi="Times New Roman" w:cs="Times New Roman" w:eastAsiaTheme="minorEastAsia"/>
                <w:color w:val="auto"/>
                <w:kern w:val="0"/>
                <w:sz w:val="18"/>
                <w:szCs w:val="18"/>
                <w:highlight w:val="none"/>
                <w:lang w:eastAsia="zh-CN"/>
              </w:rPr>
              <w:t>第一项</w:t>
            </w:r>
            <w:r>
              <w:rPr>
                <w:rFonts w:hint="default" w:ascii="Times New Roman" w:hAnsi="Times New Roman" w:cs="Times New Roman" w:eastAsiaTheme="minorEastAsia"/>
                <w:color w:val="auto"/>
                <w:kern w:val="0"/>
                <w:sz w:val="18"/>
                <w:szCs w:val="18"/>
                <w:highlight w:val="none"/>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一）擅自操作公用燃气阀门的；”</w:t>
            </w:r>
          </w:p>
        </w:tc>
        <w:tc>
          <w:tcPr>
            <w:tcW w:w="177" w:type="pct"/>
            <w:gridSpan w:val="2"/>
            <w:shd w:val="clear" w:color="auto" w:fill="auto"/>
            <w:tcMar>
              <w:top w:w="15" w:type="dxa"/>
              <w:left w:w="15" w:type="dxa"/>
              <w:right w:w="15" w:type="dxa"/>
            </w:tcMar>
            <w:vAlign w:val="center"/>
          </w:tcPr>
          <w:p w14:paraId="5A597F16">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63ED8A72">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尚未危及燃气设施</w:t>
            </w:r>
            <w:r>
              <w:rPr>
                <w:rFonts w:hint="default" w:ascii="Times New Roman" w:hAnsi="Times New Roman" w:cs="Times New Roman" w:eastAsiaTheme="minorEastAsia"/>
                <w:color w:val="auto"/>
                <w:kern w:val="0"/>
                <w:sz w:val="18"/>
                <w:szCs w:val="18"/>
                <w:highlight w:val="none"/>
                <w:lang w:val="en-US"/>
              </w:rPr>
              <w:t>或</w:t>
            </w:r>
          </w:p>
          <w:p w14:paraId="00D4CCA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妨碍燃气设施正常使用</w:t>
            </w:r>
          </w:p>
        </w:tc>
        <w:tc>
          <w:tcPr>
            <w:tcW w:w="545" w:type="pct"/>
            <w:gridSpan w:val="2"/>
            <w:shd w:val="clear" w:color="auto" w:fill="auto"/>
            <w:tcMar>
              <w:top w:w="15" w:type="dxa"/>
              <w:left w:w="15" w:type="dxa"/>
              <w:right w:w="15" w:type="dxa"/>
            </w:tcMar>
            <w:vAlign w:val="center"/>
          </w:tcPr>
          <w:p w14:paraId="0E2300A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对单位可以处</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元以下罚款，对个人可以处300元以下罚款</w:t>
            </w:r>
          </w:p>
        </w:tc>
        <w:tc>
          <w:tcPr>
            <w:tcW w:w="260" w:type="pct"/>
            <w:gridSpan w:val="3"/>
            <w:vMerge w:val="restart"/>
            <w:shd w:val="clear" w:color="auto" w:fill="auto"/>
            <w:tcMar>
              <w:top w:w="15" w:type="dxa"/>
              <w:left w:w="15" w:type="dxa"/>
              <w:right w:w="15" w:type="dxa"/>
            </w:tcMar>
            <w:vAlign w:val="center"/>
          </w:tcPr>
          <w:p w14:paraId="31DFB503">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责令限期改正；造成损失的，依法承担赔偿责任；构成犯罪的，依法追究刑事责任</w:t>
            </w:r>
          </w:p>
          <w:p w14:paraId="7E57E9B0">
            <w:pPr>
              <w:widowControl/>
              <w:shd w:val="clear"/>
              <w:jc w:val="left"/>
              <w:textAlignment w:val="center"/>
              <w:rPr>
                <w:rFonts w:hint="default" w:ascii="Times New Roman" w:hAnsi="Times New Roman" w:cs="Times New Roman" w:eastAsiaTheme="minorEastAsia"/>
                <w:color w:val="auto"/>
                <w:sz w:val="18"/>
                <w:szCs w:val="18"/>
                <w:highlight w:val="none"/>
              </w:rPr>
            </w:pPr>
          </w:p>
          <w:p w14:paraId="0883FD7B">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5DB51747">
            <w:pPr>
              <w:shd w:val="clear"/>
              <w:jc w:val="left"/>
              <w:rPr>
                <w:rFonts w:hint="default" w:ascii="Times New Roman" w:hAnsi="Times New Roman" w:cs="Times New Roman" w:eastAsiaTheme="minorEastAsia"/>
                <w:color w:val="auto"/>
                <w:sz w:val="18"/>
                <w:szCs w:val="18"/>
                <w:highlight w:val="none"/>
                <w:lang w:val="en-US" w:eastAsia="zh-CN"/>
              </w:rPr>
            </w:pPr>
          </w:p>
        </w:tc>
      </w:tr>
      <w:tr w14:paraId="752D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043" w:hRule="atLeast"/>
        </w:trPr>
        <w:tc>
          <w:tcPr>
            <w:tcW w:w="116" w:type="pct"/>
            <w:vMerge w:val="continue"/>
            <w:shd w:val="clear" w:color="auto" w:fill="auto"/>
            <w:tcMar>
              <w:top w:w="15" w:type="dxa"/>
              <w:left w:w="15" w:type="dxa"/>
              <w:right w:w="15" w:type="dxa"/>
            </w:tcMar>
            <w:vAlign w:val="center"/>
          </w:tcPr>
          <w:p w14:paraId="4BAF2025">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18F95343">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6EC05B24">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40022C59">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0597B08C">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286A0314">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造成燃气设施损害或</w:t>
            </w:r>
          </w:p>
          <w:p w14:paraId="234C286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妨碍燃气设施正常使用，存在安全隐患</w:t>
            </w:r>
          </w:p>
        </w:tc>
        <w:tc>
          <w:tcPr>
            <w:tcW w:w="545" w:type="pct"/>
            <w:gridSpan w:val="2"/>
            <w:shd w:val="clear" w:color="auto" w:fill="auto"/>
            <w:tcMar>
              <w:top w:w="15" w:type="dxa"/>
              <w:left w:w="15" w:type="dxa"/>
              <w:right w:w="15" w:type="dxa"/>
            </w:tcMar>
            <w:vAlign w:val="center"/>
          </w:tcPr>
          <w:p w14:paraId="7B106BC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对单位可以处</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7万</w:t>
            </w:r>
            <w:r>
              <w:rPr>
                <w:rFonts w:hint="default" w:ascii="Times New Roman" w:hAnsi="Times New Roman" w:cs="Times New Roman" w:eastAsiaTheme="minorEastAsia"/>
                <w:color w:val="auto"/>
                <w:kern w:val="0"/>
                <w:sz w:val="18"/>
                <w:szCs w:val="18"/>
                <w:highlight w:val="none"/>
              </w:rPr>
              <w:t>元以下罚款，对个人可以处300元以上700元以下罚款</w:t>
            </w:r>
          </w:p>
        </w:tc>
        <w:tc>
          <w:tcPr>
            <w:tcW w:w="260" w:type="pct"/>
            <w:gridSpan w:val="3"/>
            <w:vMerge w:val="continue"/>
            <w:shd w:val="clear" w:color="auto" w:fill="auto"/>
            <w:tcMar>
              <w:top w:w="15" w:type="dxa"/>
              <w:left w:w="15" w:type="dxa"/>
              <w:right w:w="15" w:type="dxa"/>
            </w:tcMar>
            <w:vAlign w:val="center"/>
          </w:tcPr>
          <w:p w14:paraId="69B75B09">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63B74A9D">
            <w:pPr>
              <w:shd w:val="clear"/>
              <w:jc w:val="left"/>
              <w:rPr>
                <w:rFonts w:hint="default" w:ascii="Times New Roman" w:hAnsi="Times New Roman" w:cs="Times New Roman" w:eastAsiaTheme="minorEastAsia"/>
                <w:color w:val="auto"/>
                <w:sz w:val="18"/>
                <w:szCs w:val="18"/>
                <w:highlight w:val="none"/>
              </w:rPr>
            </w:pPr>
          </w:p>
        </w:tc>
      </w:tr>
      <w:tr w14:paraId="32A8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960" w:hRule="atLeast"/>
        </w:trPr>
        <w:tc>
          <w:tcPr>
            <w:tcW w:w="116" w:type="pct"/>
            <w:vMerge w:val="continue"/>
            <w:shd w:val="clear" w:color="auto" w:fill="auto"/>
            <w:tcMar>
              <w:top w:w="15" w:type="dxa"/>
              <w:left w:w="15" w:type="dxa"/>
              <w:right w:w="15" w:type="dxa"/>
            </w:tcMar>
            <w:vAlign w:val="center"/>
          </w:tcPr>
          <w:p w14:paraId="7E409C11">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67071196">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6E5E922E">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7496068F">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5B3B30E9">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605D148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已造成</w:t>
            </w:r>
            <w:r>
              <w:rPr>
                <w:rFonts w:hint="default" w:ascii="Times New Roman" w:hAnsi="Times New Roman" w:cs="Times New Roman" w:eastAsiaTheme="minorEastAsia"/>
                <w:color w:val="auto"/>
                <w:kern w:val="0"/>
                <w:sz w:val="18"/>
                <w:szCs w:val="18"/>
                <w:highlight w:val="none"/>
              </w:rPr>
              <w:t>安全事故</w:t>
            </w:r>
          </w:p>
        </w:tc>
        <w:tc>
          <w:tcPr>
            <w:tcW w:w="545" w:type="pct"/>
            <w:gridSpan w:val="2"/>
            <w:shd w:val="clear" w:color="auto" w:fill="auto"/>
            <w:tcMar>
              <w:top w:w="15" w:type="dxa"/>
              <w:left w:w="15" w:type="dxa"/>
              <w:right w:w="15" w:type="dxa"/>
            </w:tcMar>
            <w:vAlign w:val="center"/>
          </w:tcPr>
          <w:p w14:paraId="19C5E4E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对单位可以处</w:t>
            </w:r>
            <w:r>
              <w:rPr>
                <w:rFonts w:hint="default" w:ascii="Times New Roman" w:hAnsi="Times New Roman" w:cs="Times New Roman" w:eastAsiaTheme="minorEastAsia"/>
                <w:color w:val="auto"/>
                <w:kern w:val="0"/>
                <w:sz w:val="18"/>
                <w:szCs w:val="18"/>
                <w:highlight w:val="none"/>
                <w:lang w:val="en-US"/>
              </w:rPr>
              <w:t>7万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元以下罚款，对个人可以处700元以上1000元以下罚款</w:t>
            </w:r>
          </w:p>
        </w:tc>
        <w:tc>
          <w:tcPr>
            <w:tcW w:w="260" w:type="pct"/>
            <w:gridSpan w:val="3"/>
            <w:vMerge w:val="continue"/>
            <w:shd w:val="clear" w:color="auto" w:fill="auto"/>
            <w:tcMar>
              <w:top w:w="15" w:type="dxa"/>
              <w:left w:w="15" w:type="dxa"/>
              <w:right w:w="15" w:type="dxa"/>
            </w:tcMar>
            <w:vAlign w:val="center"/>
          </w:tcPr>
          <w:p w14:paraId="60A7FA8E">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0988E59F">
            <w:pPr>
              <w:shd w:val="clear"/>
              <w:jc w:val="left"/>
              <w:rPr>
                <w:rFonts w:hint="default" w:ascii="Times New Roman" w:hAnsi="Times New Roman" w:cs="Times New Roman" w:eastAsiaTheme="minorEastAsia"/>
                <w:color w:val="auto"/>
                <w:sz w:val="18"/>
                <w:szCs w:val="18"/>
                <w:highlight w:val="none"/>
              </w:rPr>
            </w:pPr>
          </w:p>
        </w:tc>
      </w:tr>
      <w:tr w14:paraId="63221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960" w:hRule="atLeast"/>
        </w:trPr>
        <w:tc>
          <w:tcPr>
            <w:tcW w:w="116" w:type="pct"/>
            <w:vMerge w:val="restart"/>
            <w:shd w:val="clear" w:color="auto" w:fill="auto"/>
            <w:tcMar>
              <w:top w:w="15" w:type="dxa"/>
              <w:left w:w="15" w:type="dxa"/>
              <w:right w:w="15" w:type="dxa"/>
            </w:tcMar>
            <w:vAlign w:val="center"/>
          </w:tcPr>
          <w:p w14:paraId="30495500">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130</w:t>
            </w:r>
          </w:p>
        </w:tc>
        <w:tc>
          <w:tcPr>
            <w:tcW w:w="411" w:type="pct"/>
            <w:gridSpan w:val="2"/>
            <w:vMerge w:val="restart"/>
            <w:shd w:val="clear" w:color="auto" w:fill="auto"/>
            <w:tcMar>
              <w:top w:w="15" w:type="dxa"/>
              <w:left w:w="15" w:type="dxa"/>
              <w:right w:w="15" w:type="dxa"/>
            </w:tcMar>
            <w:vAlign w:val="center"/>
          </w:tcPr>
          <w:p w14:paraId="6BDAE37B">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将燃气管道作为负重支架或者接地引线，逾期不改正</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77FF559F">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《城镇燃气管理条例》第二十八条</w:t>
            </w:r>
            <w:r>
              <w:rPr>
                <w:rFonts w:hint="default" w:ascii="Times New Roman" w:hAnsi="Times New Roman" w:cs="Times New Roman" w:eastAsiaTheme="minorEastAsia"/>
                <w:color w:val="auto"/>
                <w:kern w:val="0"/>
                <w:sz w:val="18"/>
                <w:szCs w:val="18"/>
                <w:highlight w:val="none"/>
                <w:lang w:eastAsia="zh-CN"/>
              </w:rPr>
              <w:t>第二项</w:t>
            </w:r>
            <w:r>
              <w:rPr>
                <w:rFonts w:hint="default" w:ascii="Times New Roman" w:hAnsi="Times New Roman" w:cs="Times New Roman" w:eastAsiaTheme="minorEastAsia"/>
                <w:color w:val="auto"/>
                <w:kern w:val="0"/>
                <w:sz w:val="18"/>
                <w:szCs w:val="18"/>
                <w:highlight w:val="none"/>
              </w:rPr>
              <w:t>：“燃气用户及相关单位和个人不得有下列行为：（二）将燃气管道作为负重支架或者接地引线；”</w:t>
            </w:r>
          </w:p>
        </w:tc>
        <w:tc>
          <w:tcPr>
            <w:tcW w:w="1314" w:type="pct"/>
            <w:gridSpan w:val="2"/>
            <w:vMerge w:val="restart"/>
            <w:shd w:val="clear" w:color="auto" w:fill="auto"/>
            <w:tcMar>
              <w:top w:w="15" w:type="dxa"/>
              <w:left w:w="15" w:type="dxa"/>
              <w:right w:w="15" w:type="dxa"/>
            </w:tcMar>
            <w:vAlign w:val="center"/>
          </w:tcPr>
          <w:p w14:paraId="07B9F32F">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《城镇燃气管理条例》第四十九条第一款</w:t>
            </w:r>
            <w:r>
              <w:rPr>
                <w:rFonts w:hint="default" w:ascii="Times New Roman" w:hAnsi="Times New Roman" w:cs="Times New Roman" w:eastAsiaTheme="minorEastAsia"/>
                <w:color w:val="auto"/>
                <w:kern w:val="0"/>
                <w:sz w:val="18"/>
                <w:szCs w:val="18"/>
                <w:highlight w:val="none"/>
                <w:lang w:eastAsia="zh-CN"/>
              </w:rPr>
              <w:t>第二项</w:t>
            </w:r>
            <w:r>
              <w:rPr>
                <w:rFonts w:hint="default" w:ascii="Times New Roman" w:hAnsi="Times New Roman" w:cs="Times New Roman" w:eastAsiaTheme="minorEastAsia"/>
                <w:color w:val="auto"/>
                <w:kern w:val="0"/>
                <w:sz w:val="18"/>
                <w:szCs w:val="18"/>
                <w:highlight w:val="none"/>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二）将燃气管道作为负重支架或者接地引线的；”</w:t>
            </w:r>
          </w:p>
        </w:tc>
        <w:tc>
          <w:tcPr>
            <w:tcW w:w="177" w:type="pct"/>
            <w:gridSpan w:val="2"/>
            <w:shd w:val="clear" w:color="auto" w:fill="auto"/>
            <w:tcMar>
              <w:top w:w="15" w:type="dxa"/>
              <w:left w:w="15" w:type="dxa"/>
              <w:right w:w="15" w:type="dxa"/>
            </w:tcMar>
            <w:vAlign w:val="center"/>
          </w:tcPr>
          <w:p w14:paraId="1A42E0D3">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2A2412B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尚未危及燃气设施</w:t>
            </w:r>
            <w:r>
              <w:rPr>
                <w:rFonts w:hint="default" w:ascii="Times New Roman" w:hAnsi="Times New Roman" w:cs="Times New Roman" w:eastAsiaTheme="minorEastAsia"/>
                <w:color w:val="auto"/>
                <w:kern w:val="0"/>
                <w:sz w:val="18"/>
                <w:szCs w:val="18"/>
                <w:highlight w:val="none"/>
                <w:lang w:val="en-US"/>
              </w:rPr>
              <w:t>或</w:t>
            </w:r>
            <w:r>
              <w:rPr>
                <w:rFonts w:hint="default" w:ascii="Times New Roman" w:hAnsi="Times New Roman" w:cs="Times New Roman" w:eastAsiaTheme="minorEastAsia"/>
                <w:color w:val="auto"/>
                <w:kern w:val="0"/>
                <w:sz w:val="18"/>
                <w:szCs w:val="18"/>
                <w:highlight w:val="none"/>
              </w:rPr>
              <w:t>妨碍燃气设施正常使用</w:t>
            </w:r>
          </w:p>
        </w:tc>
        <w:tc>
          <w:tcPr>
            <w:tcW w:w="545" w:type="pct"/>
            <w:gridSpan w:val="2"/>
            <w:shd w:val="clear" w:color="auto" w:fill="auto"/>
            <w:tcMar>
              <w:top w:w="15" w:type="dxa"/>
              <w:left w:w="15" w:type="dxa"/>
              <w:right w:w="15" w:type="dxa"/>
            </w:tcMar>
            <w:vAlign w:val="center"/>
          </w:tcPr>
          <w:p w14:paraId="5C3C71DA">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对单位可以处</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元以下罚款，对个人可以处300元以下罚款</w:t>
            </w:r>
          </w:p>
        </w:tc>
        <w:tc>
          <w:tcPr>
            <w:tcW w:w="260" w:type="pct"/>
            <w:gridSpan w:val="3"/>
            <w:vMerge w:val="restart"/>
            <w:shd w:val="clear" w:color="auto" w:fill="auto"/>
            <w:tcMar>
              <w:top w:w="15" w:type="dxa"/>
              <w:left w:w="15" w:type="dxa"/>
              <w:right w:w="15" w:type="dxa"/>
            </w:tcMar>
            <w:vAlign w:val="center"/>
          </w:tcPr>
          <w:p w14:paraId="22AFE843">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责令限期改正；造成损失的，依法承担赔偿责任；构成犯罪的，依法追究刑事责任</w:t>
            </w:r>
          </w:p>
          <w:p w14:paraId="15AF08A2">
            <w:pPr>
              <w:widowControl/>
              <w:shd w:val="clear"/>
              <w:jc w:val="left"/>
              <w:textAlignment w:val="center"/>
              <w:rPr>
                <w:rFonts w:hint="default" w:ascii="Times New Roman" w:hAnsi="Times New Roman" w:cs="Times New Roman" w:eastAsiaTheme="minorEastAsia"/>
                <w:color w:val="auto"/>
                <w:sz w:val="18"/>
                <w:szCs w:val="18"/>
                <w:highlight w:val="none"/>
              </w:rPr>
            </w:pPr>
          </w:p>
          <w:p w14:paraId="43C7D65A">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6F153BF6">
            <w:pPr>
              <w:shd w:val="clear"/>
              <w:jc w:val="left"/>
              <w:rPr>
                <w:rFonts w:hint="default" w:ascii="Times New Roman" w:hAnsi="Times New Roman" w:cs="Times New Roman" w:eastAsiaTheme="minorEastAsia"/>
                <w:color w:val="auto"/>
                <w:sz w:val="18"/>
                <w:szCs w:val="18"/>
                <w:highlight w:val="none"/>
              </w:rPr>
            </w:pPr>
          </w:p>
        </w:tc>
      </w:tr>
      <w:tr w14:paraId="6A25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960" w:hRule="atLeast"/>
        </w:trPr>
        <w:tc>
          <w:tcPr>
            <w:tcW w:w="116" w:type="pct"/>
            <w:vMerge w:val="continue"/>
            <w:shd w:val="clear" w:color="auto" w:fill="auto"/>
            <w:tcMar>
              <w:top w:w="15" w:type="dxa"/>
              <w:left w:w="15" w:type="dxa"/>
              <w:right w:w="15" w:type="dxa"/>
            </w:tcMar>
            <w:vAlign w:val="center"/>
          </w:tcPr>
          <w:p w14:paraId="15460B19">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6CC1DDD9">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2FF31B3F">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03041542">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52A8A919">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48AE8F9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造成燃气设施损害或妨碍燃气设施正常使用，存在安全隐患</w:t>
            </w:r>
          </w:p>
        </w:tc>
        <w:tc>
          <w:tcPr>
            <w:tcW w:w="545" w:type="pct"/>
            <w:gridSpan w:val="2"/>
            <w:shd w:val="clear" w:color="auto" w:fill="auto"/>
            <w:tcMar>
              <w:top w:w="15" w:type="dxa"/>
              <w:left w:w="15" w:type="dxa"/>
              <w:right w:w="15" w:type="dxa"/>
            </w:tcMar>
            <w:vAlign w:val="center"/>
          </w:tcPr>
          <w:p w14:paraId="456D144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对单位可以处</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7万</w:t>
            </w:r>
            <w:r>
              <w:rPr>
                <w:rFonts w:hint="default" w:ascii="Times New Roman" w:hAnsi="Times New Roman" w:cs="Times New Roman" w:eastAsiaTheme="minorEastAsia"/>
                <w:color w:val="auto"/>
                <w:kern w:val="0"/>
                <w:sz w:val="18"/>
                <w:szCs w:val="18"/>
                <w:highlight w:val="none"/>
              </w:rPr>
              <w:t>元以下罚款，对个人可以处300元以上700元以下罚款</w:t>
            </w:r>
          </w:p>
        </w:tc>
        <w:tc>
          <w:tcPr>
            <w:tcW w:w="260" w:type="pct"/>
            <w:gridSpan w:val="3"/>
            <w:vMerge w:val="continue"/>
            <w:shd w:val="clear" w:color="auto" w:fill="auto"/>
            <w:tcMar>
              <w:top w:w="15" w:type="dxa"/>
              <w:left w:w="15" w:type="dxa"/>
              <w:right w:w="15" w:type="dxa"/>
            </w:tcMar>
            <w:vAlign w:val="center"/>
          </w:tcPr>
          <w:p w14:paraId="651963CE">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75DE0D2F">
            <w:pPr>
              <w:shd w:val="clear"/>
              <w:jc w:val="left"/>
              <w:rPr>
                <w:rFonts w:hint="default" w:ascii="Times New Roman" w:hAnsi="Times New Roman" w:cs="Times New Roman" w:eastAsiaTheme="minorEastAsia"/>
                <w:color w:val="auto"/>
                <w:sz w:val="18"/>
                <w:szCs w:val="18"/>
                <w:highlight w:val="none"/>
              </w:rPr>
            </w:pPr>
          </w:p>
        </w:tc>
      </w:tr>
      <w:tr w14:paraId="41B8F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485" w:hRule="atLeast"/>
        </w:trPr>
        <w:tc>
          <w:tcPr>
            <w:tcW w:w="116" w:type="pct"/>
            <w:vMerge w:val="continue"/>
            <w:shd w:val="clear" w:color="auto" w:fill="auto"/>
            <w:tcMar>
              <w:top w:w="15" w:type="dxa"/>
              <w:left w:w="15" w:type="dxa"/>
              <w:right w:w="15" w:type="dxa"/>
            </w:tcMar>
            <w:vAlign w:val="center"/>
          </w:tcPr>
          <w:p w14:paraId="15FD2E0B">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328C62C0">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305DD3C2">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0BC66C2B">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6468F029">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5BE10D1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已造成</w:t>
            </w:r>
            <w:r>
              <w:rPr>
                <w:rFonts w:hint="default" w:ascii="Times New Roman" w:hAnsi="Times New Roman" w:cs="Times New Roman" w:eastAsiaTheme="minorEastAsia"/>
                <w:color w:val="auto"/>
                <w:kern w:val="0"/>
                <w:sz w:val="18"/>
                <w:szCs w:val="18"/>
                <w:highlight w:val="none"/>
              </w:rPr>
              <w:t>安全事故</w:t>
            </w:r>
          </w:p>
        </w:tc>
        <w:tc>
          <w:tcPr>
            <w:tcW w:w="545" w:type="pct"/>
            <w:gridSpan w:val="2"/>
            <w:shd w:val="clear" w:color="auto" w:fill="auto"/>
            <w:tcMar>
              <w:top w:w="15" w:type="dxa"/>
              <w:left w:w="15" w:type="dxa"/>
              <w:right w:w="15" w:type="dxa"/>
            </w:tcMar>
            <w:vAlign w:val="center"/>
          </w:tcPr>
          <w:p w14:paraId="0A31B63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对单位可以处</w:t>
            </w:r>
            <w:r>
              <w:rPr>
                <w:rFonts w:hint="default" w:ascii="Times New Roman" w:hAnsi="Times New Roman" w:cs="Times New Roman" w:eastAsiaTheme="minorEastAsia"/>
                <w:color w:val="auto"/>
                <w:kern w:val="0"/>
                <w:sz w:val="18"/>
                <w:szCs w:val="18"/>
                <w:highlight w:val="none"/>
                <w:lang w:val="en-US"/>
              </w:rPr>
              <w:t>7万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元以下罚款，对个人可以处700元以上1000元以下罚款</w:t>
            </w:r>
          </w:p>
        </w:tc>
        <w:tc>
          <w:tcPr>
            <w:tcW w:w="260" w:type="pct"/>
            <w:gridSpan w:val="3"/>
            <w:vMerge w:val="continue"/>
            <w:shd w:val="clear" w:color="auto" w:fill="auto"/>
            <w:tcMar>
              <w:top w:w="15" w:type="dxa"/>
              <w:left w:w="15" w:type="dxa"/>
              <w:right w:w="15" w:type="dxa"/>
            </w:tcMar>
            <w:vAlign w:val="center"/>
          </w:tcPr>
          <w:p w14:paraId="0D540698">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74DB179D">
            <w:pPr>
              <w:shd w:val="clear"/>
              <w:jc w:val="left"/>
              <w:rPr>
                <w:rFonts w:hint="default" w:ascii="Times New Roman" w:hAnsi="Times New Roman" w:cs="Times New Roman" w:eastAsiaTheme="minorEastAsia"/>
                <w:color w:val="auto"/>
                <w:sz w:val="18"/>
                <w:szCs w:val="18"/>
                <w:highlight w:val="none"/>
              </w:rPr>
            </w:pPr>
          </w:p>
        </w:tc>
      </w:tr>
      <w:tr w14:paraId="3C73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90" w:hRule="atLeast"/>
        </w:trPr>
        <w:tc>
          <w:tcPr>
            <w:tcW w:w="116" w:type="pct"/>
            <w:vMerge w:val="restart"/>
            <w:shd w:val="clear" w:color="auto" w:fill="auto"/>
            <w:tcMar>
              <w:top w:w="15" w:type="dxa"/>
              <w:left w:w="15" w:type="dxa"/>
              <w:right w:w="15" w:type="dxa"/>
            </w:tcMar>
            <w:vAlign w:val="center"/>
          </w:tcPr>
          <w:p w14:paraId="69C45A10">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131</w:t>
            </w:r>
          </w:p>
        </w:tc>
        <w:tc>
          <w:tcPr>
            <w:tcW w:w="411" w:type="pct"/>
            <w:gridSpan w:val="2"/>
            <w:vMerge w:val="restart"/>
            <w:shd w:val="clear" w:color="auto" w:fill="auto"/>
            <w:tcMar>
              <w:top w:w="15" w:type="dxa"/>
              <w:left w:w="15" w:type="dxa"/>
              <w:right w:w="15" w:type="dxa"/>
            </w:tcMar>
            <w:vAlign w:val="center"/>
          </w:tcPr>
          <w:p w14:paraId="2506E8BE">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安装、使用不符合气源要求的燃气燃烧器具，逾期不改正</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57E556FF">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《城镇燃气管理条例》第二十八条</w:t>
            </w:r>
            <w:r>
              <w:rPr>
                <w:rFonts w:hint="default" w:ascii="Times New Roman" w:hAnsi="Times New Roman" w:cs="Times New Roman" w:eastAsiaTheme="minorEastAsia"/>
                <w:color w:val="auto"/>
                <w:kern w:val="0"/>
                <w:sz w:val="18"/>
                <w:szCs w:val="18"/>
                <w:highlight w:val="none"/>
                <w:lang w:eastAsia="zh-CN"/>
              </w:rPr>
              <w:t>第三项</w:t>
            </w:r>
            <w:r>
              <w:rPr>
                <w:rFonts w:hint="default" w:ascii="Times New Roman" w:hAnsi="Times New Roman" w:cs="Times New Roman" w:eastAsiaTheme="minorEastAsia"/>
                <w:color w:val="auto"/>
                <w:kern w:val="0"/>
                <w:sz w:val="18"/>
                <w:szCs w:val="18"/>
                <w:highlight w:val="none"/>
              </w:rPr>
              <w:t>：“燃气用户及相关单位和个人不得有下列行为：（三）安装、使用不符合气源要求的燃气燃烧器具；”</w:t>
            </w:r>
          </w:p>
        </w:tc>
        <w:tc>
          <w:tcPr>
            <w:tcW w:w="1314" w:type="pct"/>
            <w:gridSpan w:val="2"/>
            <w:vMerge w:val="restart"/>
            <w:shd w:val="clear" w:color="auto" w:fill="auto"/>
            <w:tcMar>
              <w:top w:w="15" w:type="dxa"/>
              <w:left w:w="15" w:type="dxa"/>
              <w:right w:w="15" w:type="dxa"/>
            </w:tcMar>
            <w:vAlign w:val="center"/>
          </w:tcPr>
          <w:p w14:paraId="04566A0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《城镇燃气管理条例》第四十九条第一款</w:t>
            </w:r>
            <w:r>
              <w:rPr>
                <w:rFonts w:hint="default" w:ascii="Times New Roman" w:hAnsi="Times New Roman" w:cs="Times New Roman" w:eastAsiaTheme="minorEastAsia"/>
                <w:color w:val="auto"/>
                <w:kern w:val="0"/>
                <w:sz w:val="18"/>
                <w:szCs w:val="18"/>
                <w:highlight w:val="none"/>
                <w:lang w:eastAsia="zh-CN"/>
              </w:rPr>
              <w:t>第三项</w:t>
            </w:r>
            <w:r>
              <w:rPr>
                <w:rFonts w:hint="default" w:ascii="Times New Roman" w:hAnsi="Times New Roman" w:cs="Times New Roman" w:eastAsiaTheme="minorEastAsia"/>
                <w:color w:val="auto"/>
                <w:kern w:val="0"/>
                <w:sz w:val="18"/>
                <w:szCs w:val="18"/>
                <w:highlight w:val="none"/>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三）安装、使用不符合气源要求的燃气燃烧器具的；”</w:t>
            </w:r>
          </w:p>
        </w:tc>
        <w:tc>
          <w:tcPr>
            <w:tcW w:w="177" w:type="pct"/>
            <w:gridSpan w:val="2"/>
            <w:shd w:val="clear" w:color="auto" w:fill="auto"/>
            <w:tcMar>
              <w:top w:w="15" w:type="dxa"/>
              <w:left w:w="15" w:type="dxa"/>
              <w:right w:w="15" w:type="dxa"/>
            </w:tcMar>
            <w:vAlign w:val="center"/>
          </w:tcPr>
          <w:p w14:paraId="6D6463C3">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2BC4CC1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尚未危及燃气设施</w:t>
            </w:r>
            <w:r>
              <w:rPr>
                <w:rFonts w:hint="default" w:ascii="Times New Roman" w:hAnsi="Times New Roman" w:cs="Times New Roman" w:eastAsiaTheme="minorEastAsia"/>
                <w:color w:val="auto"/>
                <w:kern w:val="0"/>
                <w:sz w:val="18"/>
                <w:szCs w:val="18"/>
                <w:highlight w:val="none"/>
                <w:lang w:val="en-US"/>
              </w:rPr>
              <w:t>或</w:t>
            </w:r>
            <w:r>
              <w:rPr>
                <w:rFonts w:hint="default" w:ascii="Times New Roman" w:hAnsi="Times New Roman" w:cs="Times New Roman" w:eastAsiaTheme="minorEastAsia"/>
                <w:color w:val="auto"/>
                <w:kern w:val="0"/>
                <w:sz w:val="18"/>
                <w:szCs w:val="18"/>
                <w:highlight w:val="none"/>
              </w:rPr>
              <w:t>妨碍燃气设施正常使用</w:t>
            </w:r>
          </w:p>
        </w:tc>
        <w:tc>
          <w:tcPr>
            <w:tcW w:w="545" w:type="pct"/>
            <w:gridSpan w:val="2"/>
            <w:shd w:val="clear" w:color="auto" w:fill="auto"/>
            <w:tcMar>
              <w:top w:w="15" w:type="dxa"/>
              <w:left w:w="15" w:type="dxa"/>
              <w:right w:w="15" w:type="dxa"/>
            </w:tcMar>
            <w:vAlign w:val="center"/>
          </w:tcPr>
          <w:p w14:paraId="1DDA734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对单位可以处</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元以下罚款，对个人可以处300元以下罚款</w:t>
            </w:r>
          </w:p>
        </w:tc>
        <w:tc>
          <w:tcPr>
            <w:tcW w:w="260" w:type="pct"/>
            <w:gridSpan w:val="3"/>
            <w:vMerge w:val="restart"/>
            <w:shd w:val="clear" w:color="auto" w:fill="auto"/>
            <w:tcMar>
              <w:top w:w="15" w:type="dxa"/>
              <w:left w:w="15" w:type="dxa"/>
              <w:right w:w="15" w:type="dxa"/>
            </w:tcMar>
            <w:vAlign w:val="center"/>
          </w:tcPr>
          <w:p w14:paraId="0063C1E8">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责令限期改正；造成损失的，依法承担赔偿责任；构成犯罪的，依法追究刑事责任</w:t>
            </w:r>
          </w:p>
          <w:p w14:paraId="12D6FD6B">
            <w:pPr>
              <w:widowControl/>
              <w:shd w:val="clear"/>
              <w:jc w:val="left"/>
              <w:textAlignment w:val="center"/>
              <w:rPr>
                <w:rFonts w:hint="default" w:ascii="Times New Roman" w:hAnsi="Times New Roman" w:cs="Times New Roman" w:eastAsiaTheme="minorEastAsia"/>
                <w:color w:val="auto"/>
                <w:sz w:val="18"/>
                <w:szCs w:val="18"/>
                <w:highlight w:val="none"/>
              </w:rPr>
            </w:pPr>
          </w:p>
          <w:p w14:paraId="198D015A">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211ACC53">
            <w:pPr>
              <w:shd w:val="clear"/>
              <w:jc w:val="left"/>
              <w:rPr>
                <w:rFonts w:hint="default" w:ascii="Times New Roman" w:hAnsi="Times New Roman" w:cs="Times New Roman" w:eastAsiaTheme="minorEastAsia"/>
                <w:color w:val="auto"/>
                <w:sz w:val="18"/>
                <w:szCs w:val="18"/>
                <w:highlight w:val="none"/>
                <w:lang w:val="en-US" w:eastAsia="zh-CN"/>
              </w:rPr>
            </w:pPr>
          </w:p>
        </w:tc>
      </w:tr>
      <w:tr w14:paraId="59CD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960" w:hRule="atLeast"/>
        </w:trPr>
        <w:tc>
          <w:tcPr>
            <w:tcW w:w="116" w:type="pct"/>
            <w:vMerge w:val="continue"/>
            <w:shd w:val="clear" w:color="auto" w:fill="auto"/>
            <w:tcMar>
              <w:top w:w="15" w:type="dxa"/>
              <w:left w:w="15" w:type="dxa"/>
              <w:right w:w="15" w:type="dxa"/>
            </w:tcMar>
            <w:vAlign w:val="center"/>
          </w:tcPr>
          <w:p w14:paraId="07363E2D">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16BFE8A4">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921D405">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3A9F301F">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52C2A903">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40B0BD5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造成燃气设施损害或妨碍燃气设施正常使用，存在安全隐患</w:t>
            </w:r>
          </w:p>
        </w:tc>
        <w:tc>
          <w:tcPr>
            <w:tcW w:w="545" w:type="pct"/>
            <w:gridSpan w:val="2"/>
            <w:shd w:val="clear" w:color="auto" w:fill="auto"/>
            <w:tcMar>
              <w:top w:w="15" w:type="dxa"/>
              <w:left w:w="15" w:type="dxa"/>
              <w:right w:w="15" w:type="dxa"/>
            </w:tcMar>
            <w:vAlign w:val="center"/>
          </w:tcPr>
          <w:p w14:paraId="6696A22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对单位可以处</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7万</w:t>
            </w:r>
            <w:r>
              <w:rPr>
                <w:rFonts w:hint="default" w:ascii="Times New Roman" w:hAnsi="Times New Roman" w:cs="Times New Roman" w:eastAsiaTheme="minorEastAsia"/>
                <w:color w:val="auto"/>
                <w:kern w:val="0"/>
                <w:sz w:val="18"/>
                <w:szCs w:val="18"/>
                <w:highlight w:val="none"/>
              </w:rPr>
              <w:t>元以下罚款，对个人可以处300元以上700元以下罚款</w:t>
            </w:r>
          </w:p>
        </w:tc>
        <w:tc>
          <w:tcPr>
            <w:tcW w:w="260" w:type="pct"/>
            <w:gridSpan w:val="3"/>
            <w:vMerge w:val="continue"/>
            <w:shd w:val="clear" w:color="auto" w:fill="auto"/>
            <w:tcMar>
              <w:top w:w="15" w:type="dxa"/>
              <w:left w:w="15" w:type="dxa"/>
              <w:right w:w="15" w:type="dxa"/>
            </w:tcMar>
            <w:vAlign w:val="center"/>
          </w:tcPr>
          <w:p w14:paraId="5CCCD9E8">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613C213A">
            <w:pPr>
              <w:shd w:val="clear"/>
              <w:jc w:val="left"/>
              <w:rPr>
                <w:rFonts w:hint="default" w:ascii="Times New Roman" w:hAnsi="Times New Roman" w:cs="Times New Roman" w:eastAsiaTheme="minorEastAsia"/>
                <w:color w:val="auto"/>
                <w:sz w:val="18"/>
                <w:szCs w:val="18"/>
                <w:highlight w:val="none"/>
              </w:rPr>
            </w:pPr>
          </w:p>
        </w:tc>
      </w:tr>
      <w:tr w14:paraId="065B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960" w:hRule="atLeast"/>
        </w:trPr>
        <w:tc>
          <w:tcPr>
            <w:tcW w:w="116" w:type="pct"/>
            <w:vMerge w:val="continue"/>
            <w:shd w:val="clear" w:color="auto" w:fill="auto"/>
            <w:tcMar>
              <w:top w:w="15" w:type="dxa"/>
              <w:left w:w="15" w:type="dxa"/>
              <w:right w:w="15" w:type="dxa"/>
            </w:tcMar>
            <w:vAlign w:val="center"/>
          </w:tcPr>
          <w:p w14:paraId="05A01B89">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3EB02F66">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BA96A69">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55069172">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2A4BB9CB">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76BF5A6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已造成</w:t>
            </w:r>
            <w:r>
              <w:rPr>
                <w:rFonts w:hint="default" w:ascii="Times New Roman" w:hAnsi="Times New Roman" w:cs="Times New Roman" w:eastAsiaTheme="minorEastAsia"/>
                <w:color w:val="auto"/>
                <w:kern w:val="0"/>
                <w:sz w:val="18"/>
                <w:szCs w:val="18"/>
                <w:highlight w:val="none"/>
              </w:rPr>
              <w:t>安全事故</w:t>
            </w:r>
          </w:p>
        </w:tc>
        <w:tc>
          <w:tcPr>
            <w:tcW w:w="545" w:type="pct"/>
            <w:gridSpan w:val="2"/>
            <w:shd w:val="clear" w:color="auto" w:fill="auto"/>
            <w:tcMar>
              <w:top w:w="15" w:type="dxa"/>
              <w:left w:w="15" w:type="dxa"/>
              <w:right w:w="15" w:type="dxa"/>
            </w:tcMar>
            <w:vAlign w:val="center"/>
          </w:tcPr>
          <w:p w14:paraId="7B65111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对单位可以处</w:t>
            </w:r>
            <w:r>
              <w:rPr>
                <w:rFonts w:hint="default" w:ascii="Times New Roman" w:hAnsi="Times New Roman" w:cs="Times New Roman" w:eastAsiaTheme="minorEastAsia"/>
                <w:color w:val="auto"/>
                <w:kern w:val="0"/>
                <w:sz w:val="18"/>
                <w:szCs w:val="18"/>
                <w:highlight w:val="none"/>
                <w:lang w:val="en-US"/>
              </w:rPr>
              <w:t>7万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元以下罚款，对个人可以处700元以上1000元以下罚款</w:t>
            </w:r>
          </w:p>
        </w:tc>
        <w:tc>
          <w:tcPr>
            <w:tcW w:w="260" w:type="pct"/>
            <w:gridSpan w:val="3"/>
            <w:vMerge w:val="continue"/>
            <w:shd w:val="clear" w:color="auto" w:fill="auto"/>
            <w:tcMar>
              <w:top w:w="15" w:type="dxa"/>
              <w:left w:w="15" w:type="dxa"/>
              <w:right w:w="15" w:type="dxa"/>
            </w:tcMar>
            <w:vAlign w:val="center"/>
          </w:tcPr>
          <w:p w14:paraId="4125844F">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572533B7">
            <w:pPr>
              <w:shd w:val="clear"/>
              <w:jc w:val="left"/>
              <w:rPr>
                <w:rFonts w:hint="default" w:ascii="Times New Roman" w:hAnsi="Times New Roman" w:cs="Times New Roman" w:eastAsiaTheme="minorEastAsia"/>
                <w:color w:val="auto"/>
                <w:sz w:val="18"/>
                <w:szCs w:val="18"/>
                <w:highlight w:val="none"/>
              </w:rPr>
            </w:pPr>
          </w:p>
        </w:tc>
      </w:tr>
      <w:tr w14:paraId="2574A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960" w:hRule="atLeast"/>
        </w:trPr>
        <w:tc>
          <w:tcPr>
            <w:tcW w:w="116" w:type="pct"/>
            <w:vMerge w:val="restart"/>
            <w:shd w:val="clear" w:color="auto" w:fill="auto"/>
            <w:tcMar>
              <w:top w:w="15" w:type="dxa"/>
              <w:left w:w="15" w:type="dxa"/>
              <w:right w:w="15" w:type="dxa"/>
            </w:tcMar>
            <w:vAlign w:val="center"/>
          </w:tcPr>
          <w:p w14:paraId="76065536">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132</w:t>
            </w:r>
          </w:p>
        </w:tc>
        <w:tc>
          <w:tcPr>
            <w:tcW w:w="411" w:type="pct"/>
            <w:gridSpan w:val="2"/>
            <w:vMerge w:val="restart"/>
            <w:shd w:val="clear" w:color="auto" w:fill="auto"/>
            <w:tcMar>
              <w:top w:w="15" w:type="dxa"/>
              <w:left w:w="15" w:type="dxa"/>
              <w:right w:w="15" w:type="dxa"/>
            </w:tcMar>
            <w:vAlign w:val="center"/>
          </w:tcPr>
          <w:p w14:paraId="3E0921FB">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擅自安装、改装、拆除户内燃气设施和燃气计量装置，逾期不改正</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2629154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《城镇燃气管理条例》第二十八条</w:t>
            </w:r>
            <w:r>
              <w:rPr>
                <w:rFonts w:hint="default" w:ascii="Times New Roman" w:hAnsi="Times New Roman" w:cs="Times New Roman" w:eastAsiaTheme="minorEastAsia"/>
                <w:color w:val="auto"/>
                <w:kern w:val="0"/>
                <w:sz w:val="18"/>
                <w:szCs w:val="18"/>
                <w:highlight w:val="none"/>
                <w:lang w:eastAsia="zh-CN"/>
              </w:rPr>
              <w:t>第四项</w:t>
            </w:r>
            <w:r>
              <w:rPr>
                <w:rFonts w:hint="default" w:ascii="Times New Roman" w:hAnsi="Times New Roman" w:cs="Times New Roman" w:eastAsiaTheme="minorEastAsia"/>
                <w:color w:val="auto"/>
                <w:kern w:val="0"/>
                <w:sz w:val="18"/>
                <w:szCs w:val="18"/>
                <w:highlight w:val="none"/>
              </w:rPr>
              <w:t>：“燃气用户及相关单位和个人不得有下列行为：（四）擅自安装、改装、拆除户内燃气设施和燃气计量装置；”</w:t>
            </w:r>
          </w:p>
        </w:tc>
        <w:tc>
          <w:tcPr>
            <w:tcW w:w="1314" w:type="pct"/>
            <w:gridSpan w:val="2"/>
            <w:vMerge w:val="restart"/>
            <w:shd w:val="clear" w:color="auto" w:fill="auto"/>
            <w:tcMar>
              <w:top w:w="15" w:type="dxa"/>
              <w:left w:w="15" w:type="dxa"/>
              <w:right w:w="15" w:type="dxa"/>
            </w:tcMar>
            <w:vAlign w:val="center"/>
          </w:tcPr>
          <w:p w14:paraId="6EEDC51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《城镇燃气管理条例》第四十九条第一款</w:t>
            </w:r>
            <w:r>
              <w:rPr>
                <w:rFonts w:hint="default" w:ascii="Times New Roman" w:hAnsi="Times New Roman" w:cs="Times New Roman" w:eastAsiaTheme="minorEastAsia"/>
                <w:color w:val="auto"/>
                <w:kern w:val="0"/>
                <w:sz w:val="18"/>
                <w:szCs w:val="18"/>
                <w:highlight w:val="none"/>
                <w:lang w:eastAsia="zh-CN"/>
              </w:rPr>
              <w:t>第四项</w:t>
            </w:r>
            <w:r>
              <w:rPr>
                <w:rFonts w:hint="default" w:ascii="Times New Roman" w:hAnsi="Times New Roman" w:cs="Times New Roman" w:eastAsiaTheme="minorEastAsia"/>
                <w:color w:val="auto"/>
                <w:kern w:val="0"/>
                <w:sz w:val="18"/>
                <w:szCs w:val="18"/>
                <w:highlight w:val="none"/>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四）擅自安装、改装、拆除户内燃气设施和燃气计量装置的；”</w:t>
            </w:r>
          </w:p>
        </w:tc>
        <w:tc>
          <w:tcPr>
            <w:tcW w:w="177" w:type="pct"/>
            <w:gridSpan w:val="2"/>
            <w:shd w:val="clear" w:color="auto" w:fill="auto"/>
            <w:tcMar>
              <w:top w:w="15" w:type="dxa"/>
              <w:left w:w="15" w:type="dxa"/>
              <w:right w:w="15" w:type="dxa"/>
            </w:tcMar>
            <w:vAlign w:val="center"/>
          </w:tcPr>
          <w:p w14:paraId="1B5D9A52">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1A4DD069">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擅自安装、改装、拆除户内燃气设施1处</w:t>
            </w:r>
            <w:r>
              <w:rPr>
                <w:rFonts w:hint="default" w:ascii="Times New Roman" w:hAnsi="Times New Roman" w:cs="Times New Roman" w:eastAsiaTheme="minorEastAsia"/>
                <w:color w:val="auto"/>
                <w:kern w:val="0"/>
                <w:sz w:val="18"/>
                <w:szCs w:val="18"/>
                <w:highlight w:val="none"/>
                <w:lang w:val="en-US" w:eastAsia="zh-CN"/>
              </w:rPr>
              <w:t>;</w:t>
            </w:r>
          </w:p>
          <w:p w14:paraId="6CDEFD48">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擅自安装、改装、拆除燃气计量装置1个月</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130EC04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对单位可以处</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元以下罚款，对个人可以处300元以下罚款</w:t>
            </w:r>
          </w:p>
        </w:tc>
        <w:tc>
          <w:tcPr>
            <w:tcW w:w="260" w:type="pct"/>
            <w:gridSpan w:val="3"/>
            <w:vMerge w:val="restart"/>
            <w:shd w:val="clear" w:color="auto" w:fill="auto"/>
            <w:tcMar>
              <w:top w:w="15" w:type="dxa"/>
              <w:left w:w="15" w:type="dxa"/>
              <w:right w:w="15" w:type="dxa"/>
            </w:tcMar>
            <w:vAlign w:val="center"/>
          </w:tcPr>
          <w:p w14:paraId="35DD558D">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责令限期改正；造成损失的，依法承担赔偿责任；构成犯罪的，依法追究刑事责任</w:t>
            </w:r>
          </w:p>
          <w:p w14:paraId="00CB1CAB">
            <w:pPr>
              <w:widowControl/>
              <w:shd w:val="clear"/>
              <w:jc w:val="left"/>
              <w:textAlignment w:val="center"/>
              <w:rPr>
                <w:rFonts w:hint="default" w:ascii="Times New Roman" w:hAnsi="Times New Roman" w:cs="Times New Roman" w:eastAsiaTheme="minorEastAsia"/>
                <w:color w:val="auto"/>
                <w:sz w:val="18"/>
                <w:szCs w:val="18"/>
                <w:highlight w:val="none"/>
              </w:rPr>
            </w:pPr>
          </w:p>
          <w:p w14:paraId="5D235933">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47E1E0A0">
            <w:pPr>
              <w:shd w:val="clear"/>
              <w:jc w:val="left"/>
              <w:rPr>
                <w:rFonts w:hint="default" w:ascii="Times New Roman" w:hAnsi="Times New Roman" w:cs="Times New Roman" w:eastAsiaTheme="minorEastAsia"/>
                <w:color w:val="auto"/>
                <w:sz w:val="18"/>
                <w:szCs w:val="18"/>
                <w:highlight w:val="none"/>
                <w:lang w:val="en-US" w:eastAsia="zh-CN"/>
              </w:rPr>
            </w:pPr>
          </w:p>
        </w:tc>
      </w:tr>
      <w:tr w14:paraId="5745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960" w:hRule="atLeast"/>
        </w:trPr>
        <w:tc>
          <w:tcPr>
            <w:tcW w:w="116" w:type="pct"/>
            <w:vMerge w:val="continue"/>
            <w:shd w:val="clear" w:color="auto" w:fill="auto"/>
            <w:tcMar>
              <w:top w:w="15" w:type="dxa"/>
              <w:left w:w="15" w:type="dxa"/>
              <w:right w:w="15" w:type="dxa"/>
            </w:tcMar>
            <w:vAlign w:val="center"/>
          </w:tcPr>
          <w:p w14:paraId="22A17F6E">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2B3A0BC4">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66DD12F6">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21422B06">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52394AEC">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057E0AA2">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擅自安装、改装、拆除户内燃气设施2处</w:t>
            </w:r>
            <w:r>
              <w:rPr>
                <w:rFonts w:hint="default" w:ascii="Times New Roman" w:hAnsi="Times New Roman" w:cs="Times New Roman" w:eastAsiaTheme="minorEastAsia"/>
                <w:color w:val="auto"/>
                <w:kern w:val="0"/>
                <w:sz w:val="18"/>
                <w:szCs w:val="18"/>
                <w:highlight w:val="none"/>
                <w:lang w:eastAsia="zh-CN"/>
              </w:rPr>
              <w:t>；</w:t>
            </w:r>
          </w:p>
          <w:p w14:paraId="0D0E1794">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擅自安装、改装、拆除燃气计量装置1个月</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2个月</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3B7B301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对单位可以处</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7万</w:t>
            </w:r>
            <w:r>
              <w:rPr>
                <w:rFonts w:hint="default" w:ascii="Times New Roman" w:hAnsi="Times New Roman" w:cs="Times New Roman" w:eastAsiaTheme="minorEastAsia"/>
                <w:color w:val="auto"/>
                <w:kern w:val="0"/>
                <w:sz w:val="18"/>
                <w:szCs w:val="18"/>
                <w:highlight w:val="none"/>
              </w:rPr>
              <w:t>元以下罚款，对个人可以处300元以上700元以下罚款</w:t>
            </w:r>
          </w:p>
        </w:tc>
        <w:tc>
          <w:tcPr>
            <w:tcW w:w="260" w:type="pct"/>
            <w:gridSpan w:val="3"/>
            <w:vMerge w:val="continue"/>
            <w:shd w:val="clear" w:color="auto" w:fill="auto"/>
            <w:tcMar>
              <w:top w:w="15" w:type="dxa"/>
              <w:left w:w="15" w:type="dxa"/>
              <w:right w:w="15" w:type="dxa"/>
            </w:tcMar>
            <w:vAlign w:val="center"/>
          </w:tcPr>
          <w:p w14:paraId="5F8720B5">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309C6DBF">
            <w:pPr>
              <w:shd w:val="clear"/>
              <w:jc w:val="left"/>
              <w:rPr>
                <w:rFonts w:hint="default" w:ascii="Times New Roman" w:hAnsi="Times New Roman" w:cs="Times New Roman" w:eastAsiaTheme="minorEastAsia"/>
                <w:color w:val="auto"/>
                <w:sz w:val="18"/>
                <w:szCs w:val="18"/>
                <w:highlight w:val="none"/>
              </w:rPr>
            </w:pPr>
          </w:p>
        </w:tc>
      </w:tr>
      <w:tr w14:paraId="765E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560" w:hRule="atLeast"/>
        </w:trPr>
        <w:tc>
          <w:tcPr>
            <w:tcW w:w="116" w:type="pct"/>
            <w:vMerge w:val="continue"/>
            <w:shd w:val="clear" w:color="auto" w:fill="auto"/>
            <w:tcMar>
              <w:top w:w="15" w:type="dxa"/>
              <w:left w:w="15" w:type="dxa"/>
              <w:right w:w="15" w:type="dxa"/>
            </w:tcMar>
            <w:vAlign w:val="center"/>
          </w:tcPr>
          <w:p w14:paraId="2A164388">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08249D16">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45F4F993">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509339A8">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39F8C67C">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0B6001E5">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擅自安装、改装、拆除户内燃气设施3处</w:t>
            </w:r>
            <w:r>
              <w:rPr>
                <w:rFonts w:hint="default" w:ascii="Times New Roman" w:hAnsi="Times New Roman" w:cs="Times New Roman" w:eastAsiaTheme="minorEastAsia"/>
                <w:color w:val="auto"/>
                <w:kern w:val="0"/>
                <w:sz w:val="18"/>
                <w:szCs w:val="18"/>
                <w:highlight w:val="none"/>
                <w:lang w:eastAsia="zh-CN"/>
              </w:rPr>
              <w:t>以上；</w:t>
            </w:r>
          </w:p>
          <w:p w14:paraId="7A01955A">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擅自安装、改装、拆除燃气计量装置2个月</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611D15E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对单位可以处</w:t>
            </w:r>
            <w:r>
              <w:rPr>
                <w:rFonts w:hint="default" w:ascii="Times New Roman" w:hAnsi="Times New Roman" w:cs="Times New Roman" w:eastAsiaTheme="minorEastAsia"/>
                <w:color w:val="auto"/>
                <w:kern w:val="0"/>
                <w:sz w:val="18"/>
                <w:szCs w:val="18"/>
                <w:highlight w:val="none"/>
                <w:lang w:val="en-US"/>
              </w:rPr>
              <w:t>7万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元以下罚款，对个人可以处700元以上1000元以下罚款</w:t>
            </w:r>
          </w:p>
        </w:tc>
        <w:tc>
          <w:tcPr>
            <w:tcW w:w="260" w:type="pct"/>
            <w:gridSpan w:val="3"/>
            <w:shd w:val="clear" w:color="auto" w:fill="auto"/>
            <w:tcMar>
              <w:top w:w="15" w:type="dxa"/>
              <w:left w:w="15" w:type="dxa"/>
              <w:right w:w="15" w:type="dxa"/>
            </w:tcMar>
            <w:vAlign w:val="center"/>
          </w:tcPr>
          <w:p w14:paraId="2285896B">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shd w:val="clear" w:color="auto" w:fill="auto"/>
            <w:tcMar>
              <w:top w:w="15" w:type="dxa"/>
              <w:left w:w="15" w:type="dxa"/>
              <w:right w:w="15" w:type="dxa"/>
            </w:tcMar>
            <w:vAlign w:val="center"/>
          </w:tcPr>
          <w:p w14:paraId="4EC94BA7">
            <w:pPr>
              <w:shd w:val="clear"/>
              <w:jc w:val="left"/>
              <w:rPr>
                <w:rFonts w:hint="default" w:ascii="Times New Roman" w:hAnsi="Times New Roman" w:cs="Times New Roman" w:eastAsiaTheme="minorEastAsia"/>
                <w:color w:val="auto"/>
                <w:sz w:val="18"/>
                <w:szCs w:val="18"/>
                <w:highlight w:val="none"/>
              </w:rPr>
            </w:pPr>
          </w:p>
        </w:tc>
      </w:tr>
      <w:tr w14:paraId="0B02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960" w:hRule="atLeast"/>
        </w:trPr>
        <w:tc>
          <w:tcPr>
            <w:tcW w:w="116" w:type="pct"/>
            <w:vMerge w:val="restart"/>
            <w:shd w:val="clear" w:color="auto" w:fill="auto"/>
            <w:tcMar>
              <w:top w:w="15" w:type="dxa"/>
              <w:left w:w="15" w:type="dxa"/>
              <w:right w:w="15" w:type="dxa"/>
            </w:tcMar>
            <w:vAlign w:val="center"/>
          </w:tcPr>
          <w:p w14:paraId="4B3560D3">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133</w:t>
            </w:r>
          </w:p>
        </w:tc>
        <w:tc>
          <w:tcPr>
            <w:tcW w:w="411" w:type="pct"/>
            <w:gridSpan w:val="2"/>
            <w:vMerge w:val="restart"/>
            <w:shd w:val="clear" w:color="auto" w:fill="auto"/>
            <w:tcMar>
              <w:top w:w="15" w:type="dxa"/>
              <w:left w:w="15" w:type="dxa"/>
              <w:right w:w="15" w:type="dxa"/>
            </w:tcMar>
            <w:vAlign w:val="center"/>
          </w:tcPr>
          <w:p w14:paraId="7021917C">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燃气用户及相关单位和个人在不具备安全条件的场所使用、储存燃气，逾期不改正</w:t>
            </w:r>
            <w:r>
              <w:rPr>
                <w:rFonts w:hint="default" w:ascii="Times New Roman" w:hAnsi="Times New Roman" w:cs="Times New Roman" w:eastAsiaTheme="minorEastAsia"/>
                <w:color w:val="auto"/>
                <w:kern w:val="0"/>
                <w:sz w:val="18"/>
                <w:szCs w:val="18"/>
                <w:highlight w:val="none"/>
                <w:lang w:eastAsia="zh-CN"/>
              </w:rPr>
              <w:t>的（燃气经营者除外）</w:t>
            </w:r>
          </w:p>
        </w:tc>
        <w:tc>
          <w:tcPr>
            <w:tcW w:w="1310" w:type="pct"/>
            <w:gridSpan w:val="2"/>
            <w:vMerge w:val="restart"/>
            <w:shd w:val="clear" w:color="auto" w:fill="auto"/>
            <w:tcMar>
              <w:top w:w="15" w:type="dxa"/>
              <w:left w:w="15" w:type="dxa"/>
              <w:right w:w="15" w:type="dxa"/>
            </w:tcMar>
            <w:vAlign w:val="center"/>
          </w:tcPr>
          <w:p w14:paraId="4E6CE2B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《城镇燃气管理条例》第二十八条</w:t>
            </w:r>
            <w:r>
              <w:rPr>
                <w:rFonts w:hint="default" w:ascii="Times New Roman" w:hAnsi="Times New Roman" w:cs="Times New Roman" w:eastAsiaTheme="minorEastAsia"/>
                <w:color w:val="auto"/>
                <w:kern w:val="0"/>
                <w:sz w:val="18"/>
                <w:szCs w:val="18"/>
                <w:highlight w:val="none"/>
                <w:lang w:eastAsia="zh-CN"/>
              </w:rPr>
              <w:t>第五项</w:t>
            </w:r>
            <w:r>
              <w:rPr>
                <w:rFonts w:hint="default" w:ascii="Times New Roman" w:hAnsi="Times New Roman" w:cs="Times New Roman" w:eastAsiaTheme="minorEastAsia"/>
                <w:color w:val="auto"/>
                <w:kern w:val="0"/>
                <w:sz w:val="18"/>
                <w:szCs w:val="18"/>
                <w:highlight w:val="none"/>
              </w:rPr>
              <w:t>：“燃气用户及相关单位和个人不得有下列行为：（五）在不具备安全条件的场所使用、储存燃气；”</w:t>
            </w:r>
          </w:p>
        </w:tc>
        <w:tc>
          <w:tcPr>
            <w:tcW w:w="1314" w:type="pct"/>
            <w:gridSpan w:val="2"/>
            <w:vMerge w:val="restart"/>
            <w:shd w:val="clear" w:color="auto" w:fill="auto"/>
            <w:tcMar>
              <w:top w:w="15" w:type="dxa"/>
              <w:left w:w="15" w:type="dxa"/>
              <w:right w:w="15" w:type="dxa"/>
            </w:tcMar>
            <w:vAlign w:val="center"/>
          </w:tcPr>
          <w:p w14:paraId="1EB0982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《城镇燃气管理条例》第四十九条第一款</w:t>
            </w:r>
            <w:r>
              <w:rPr>
                <w:rFonts w:hint="default" w:ascii="Times New Roman" w:hAnsi="Times New Roman" w:cs="Times New Roman" w:eastAsiaTheme="minorEastAsia"/>
                <w:color w:val="auto"/>
                <w:kern w:val="0"/>
                <w:sz w:val="18"/>
                <w:szCs w:val="18"/>
                <w:highlight w:val="none"/>
                <w:lang w:eastAsia="zh-CN"/>
              </w:rPr>
              <w:t>第五项</w:t>
            </w:r>
            <w:r>
              <w:rPr>
                <w:rFonts w:hint="default" w:ascii="Times New Roman" w:hAnsi="Times New Roman" w:cs="Times New Roman" w:eastAsiaTheme="minorEastAsia"/>
                <w:color w:val="auto"/>
                <w:kern w:val="0"/>
                <w:sz w:val="18"/>
                <w:szCs w:val="18"/>
                <w:highlight w:val="none"/>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五）在不具备安全条件的场所使用、储存燃气的；”</w:t>
            </w:r>
          </w:p>
        </w:tc>
        <w:tc>
          <w:tcPr>
            <w:tcW w:w="177" w:type="pct"/>
            <w:gridSpan w:val="2"/>
            <w:shd w:val="clear" w:color="auto" w:fill="auto"/>
            <w:tcMar>
              <w:top w:w="15" w:type="dxa"/>
              <w:left w:w="15" w:type="dxa"/>
              <w:right w:w="15" w:type="dxa"/>
            </w:tcMar>
            <w:vAlign w:val="center"/>
          </w:tcPr>
          <w:p w14:paraId="06DB53D0">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008BCFC7">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使用、储存燃气</w:t>
            </w:r>
            <w:r>
              <w:rPr>
                <w:rFonts w:hint="eastAsia" w:ascii="Times New Roman" w:hAnsi="Times New Roman" w:cs="Times New Roman"/>
                <w:color w:val="auto"/>
                <w:kern w:val="0"/>
                <w:sz w:val="18"/>
                <w:szCs w:val="18"/>
                <w:highlight w:val="none"/>
                <w:lang w:val="en-US" w:eastAsia="zh-CN"/>
              </w:rPr>
              <w:t>5</w:t>
            </w:r>
            <w:r>
              <w:rPr>
                <w:rFonts w:hint="default" w:ascii="Times New Roman" w:hAnsi="Times New Roman" w:cs="Times New Roman" w:eastAsiaTheme="minorEastAsia"/>
                <w:color w:val="auto"/>
                <w:kern w:val="0"/>
                <w:sz w:val="18"/>
                <w:szCs w:val="18"/>
                <w:highlight w:val="none"/>
                <w:lang w:val="en-US" w:eastAsia="zh-CN"/>
              </w:rPr>
              <w:t>瓶以下</w:t>
            </w:r>
          </w:p>
        </w:tc>
        <w:tc>
          <w:tcPr>
            <w:tcW w:w="545" w:type="pct"/>
            <w:gridSpan w:val="2"/>
            <w:shd w:val="clear" w:color="auto" w:fill="auto"/>
            <w:tcMar>
              <w:top w:w="15" w:type="dxa"/>
              <w:left w:w="15" w:type="dxa"/>
              <w:right w:w="15" w:type="dxa"/>
            </w:tcMar>
            <w:vAlign w:val="center"/>
          </w:tcPr>
          <w:p w14:paraId="69396D5A">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对单位可以处</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元以下罚款，对个人可以处300元以下罚款</w:t>
            </w:r>
          </w:p>
        </w:tc>
        <w:tc>
          <w:tcPr>
            <w:tcW w:w="260" w:type="pct"/>
            <w:gridSpan w:val="3"/>
            <w:vMerge w:val="restart"/>
            <w:shd w:val="clear" w:color="auto" w:fill="auto"/>
            <w:tcMar>
              <w:top w:w="15" w:type="dxa"/>
              <w:left w:w="15" w:type="dxa"/>
              <w:right w:w="15" w:type="dxa"/>
            </w:tcMar>
            <w:vAlign w:val="center"/>
          </w:tcPr>
          <w:p w14:paraId="06368E6F">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责令限期改正；造成损失的，依法承担赔偿责任；构成犯罪的，依法追究刑事责任</w:t>
            </w:r>
          </w:p>
          <w:p w14:paraId="26A20C10">
            <w:pPr>
              <w:widowControl/>
              <w:shd w:val="clear"/>
              <w:jc w:val="left"/>
              <w:textAlignment w:val="center"/>
              <w:rPr>
                <w:rFonts w:hint="default" w:ascii="Times New Roman" w:hAnsi="Times New Roman" w:cs="Times New Roman" w:eastAsiaTheme="minorEastAsia"/>
                <w:color w:val="auto"/>
                <w:sz w:val="18"/>
                <w:szCs w:val="18"/>
                <w:highlight w:val="none"/>
              </w:rPr>
            </w:pPr>
          </w:p>
          <w:p w14:paraId="641583EB">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3537C0AB">
            <w:pPr>
              <w:shd w:val="clear"/>
              <w:jc w:val="left"/>
              <w:rPr>
                <w:rFonts w:hint="default" w:ascii="Times New Roman" w:hAnsi="Times New Roman" w:cs="Times New Roman" w:eastAsiaTheme="minorEastAsia"/>
                <w:strike w:val="0"/>
                <w:color w:val="auto"/>
                <w:sz w:val="18"/>
                <w:szCs w:val="18"/>
                <w:highlight w:val="none"/>
              </w:rPr>
            </w:pPr>
            <w:r>
              <w:rPr>
                <w:rFonts w:hint="eastAsia" w:ascii="Times New Roman" w:hAnsi="Times New Roman" w:cs="Times New Roman"/>
                <w:strike w:val="0"/>
                <w:color w:val="auto"/>
                <w:sz w:val="18"/>
                <w:szCs w:val="18"/>
                <w:highlight w:val="none"/>
                <w:lang w:val="en-US" w:eastAsia="zh-CN"/>
              </w:rPr>
              <w:t>此处气瓶为15公斤规格，其它规格请折算适用</w:t>
            </w:r>
          </w:p>
        </w:tc>
      </w:tr>
      <w:tr w14:paraId="1EA9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960" w:hRule="atLeast"/>
        </w:trPr>
        <w:tc>
          <w:tcPr>
            <w:tcW w:w="116" w:type="pct"/>
            <w:vMerge w:val="continue"/>
            <w:shd w:val="clear" w:color="auto" w:fill="auto"/>
            <w:tcMar>
              <w:top w:w="15" w:type="dxa"/>
              <w:left w:w="15" w:type="dxa"/>
              <w:right w:w="15" w:type="dxa"/>
            </w:tcMar>
            <w:vAlign w:val="center"/>
          </w:tcPr>
          <w:p w14:paraId="4C0F7043">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00089726">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0411AF2">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66306772">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43BA7DF4">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36F91B9D">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使用、储存燃气</w:t>
            </w:r>
            <w:r>
              <w:rPr>
                <w:rFonts w:hint="eastAsia" w:ascii="Times New Roman" w:hAnsi="Times New Roman" w:cs="Times New Roman"/>
                <w:color w:val="auto"/>
                <w:kern w:val="0"/>
                <w:sz w:val="18"/>
                <w:szCs w:val="18"/>
                <w:highlight w:val="none"/>
                <w:lang w:val="en-US" w:eastAsia="zh-CN"/>
              </w:rPr>
              <w:t>5</w:t>
            </w:r>
            <w:r>
              <w:rPr>
                <w:rFonts w:hint="default" w:ascii="Times New Roman" w:hAnsi="Times New Roman" w:cs="Times New Roman" w:eastAsiaTheme="minorEastAsia"/>
                <w:color w:val="auto"/>
                <w:kern w:val="0"/>
                <w:sz w:val="18"/>
                <w:szCs w:val="18"/>
                <w:highlight w:val="none"/>
                <w:lang w:val="en-US" w:eastAsia="zh-CN"/>
              </w:rPr>
              <w:t>瓶以上</w:t>
            </w:r>
            <w:r>
              <w:rPr>
                <w:rFonts w:hint="eastAsia" w:ascii="Times New Roman" w:hAnsi="Times New Roman" w:cs="Times New Roman"/>
                <w:color w:val="auto"/>
                <w:kern w:val="0"/>
                <w:sz w:val="18"/>
                <w:szCs w:val="18"/>
                <w:highlight w:val="none"/>
                <w:lang w:val="en-US" w:eastAsia="zh-CN"/>
              </w:rPr>
              <w:t>10</w:t>
            </w:r>
            <w:r>
              <w:rPr>
                <w:rFonts w:hint="default" w:ascii="Times New Roman" w:hAnsi="Times New Roman" w:cs="Times New Roman" w:eastAsiaTheme="minorEastAsia"/>
                <w:color w:val="auto"/>
                <w:kern w:val="0"/>
                <w:sz w:val="18"/>
                <w:szCs w:val="18"/>
                <w:highlight w:val="none"/>
                <w:lang w:val="en-US" w:eastAsia="zh-CN"/>
              </w:rPr>
              <w:t>瓶以下</w:t>
            </w:r>
          </w:p>
        </w:tc>
        <w:tc>
          <w:tcPr>
            <w:tcW w:w="545" w:type="pct"/>
            <w:gridSpan w:val="2"/>
            <w:shd w:val="clear" w:color="auto" w:fill="auto"/>
            <w:tcMar>
              <w:top w:w="15" w:type="dxa"/>
              <w:left w:w="15" w:type="dxa"/>
              <w:right w:w="15" w:type="dxa"/>
            </w:tcMar>
            <w:vAlign w:val="center"/>
          </w:tcPr>
          <w:p w14:paraId="652C009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对单位可以处</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7万</w:t>
            </w:r>
            <w:r>
              <w:rPr>
                <w:rFonts w:hint="default" w:ascii="Times New Roman" w:hAnsi="Times New Roman" w:cs="Times New Roman" w:eastAsiaTheme="minorEastAsia"/>
                <w:color w:val="auto"/>
                <w:kern w:val="0"/>
                <w:sz w:val="18"/>
                <w:szCs w:val="18"/>
                <w:highlight w:val="none"/>
              </w:rPr>
              <w:t>元以下罚款，对个人可以处300元以上700元以下罚款</w:t>
            </w:r>
          </w:p>
        </w:tc>
        <w:tc>
          <w:tcPr>
            <w:tcW w:w="260" w:type="pct"/>
            <w:gridSpan w:val="3"/>
            <w:vMerge w:val="continue"/>
            <w:shd w:val="clear" w:color="auto" w:fill="auto"/>
            <w:tcMar>
              <w:top w:w="15" w:type="dxa"/>
              <w:left w:w="15" w:type="dxa"/>
              <w:right w:w="15" w:type="dxa"/>
            </w:tcMar>
            <w:vAlign w:val="center"/>
          </w:tcPr>
          <w:p w14:paraId="52F0D1A4">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385EACCC">
            <w:pPr>
              <w:shd w:val="clear"/>
              <w:jc w:val="left"/>
              <w:rPr>
                <w:rFonts w:hint="default" w:ascii="Times New Roman" w:hAnsi="Times New Roman" w:cs="Times New Roman" w:eastAsiaTheme="minorEastAsia"/>
                <w:color w:val="auto"/>
                <w:sz w:val="18"/>
                <w:szCs w:val="18"/>
                <w:highlight w:val="none"/>
              </w:rPr>
            </w:pPr>
          </w:p>
        </w:tc>
      </w:tr>
      <w:tr w14:paraId="49AC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960" w:hRule="atLeast"/>
        </w:trPr>
        <w:tc>
          <w:tcPr>
            <w:tcW w:w="116" w:type="pct"/>
            <w:vMerge w:val="continue"/>
            <w:shd w:val="clear" w:color="auto" w:fill="auto"/>
            <w:tcMar>
              <w:top w:w="15" w:type="dxa"/>
              <w:left w:w="15" w:type="dxa"/>
              <w:right w:w="15" w:type="dxa"/>
            </w:tcMar>
            <w:vAlign w:val="center"/>
          </w:tcPr>
          <w:p w14:paraId="0EB19428">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3EAFDD3B">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7D110AD4">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748938FD">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67B0DF67">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39A4EB9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使用、储存燃气</w:t>
            </w:r>
            <w:r>
              <w:rPr>
                <w:rFonts w:hint="eastAsia" w:ascii="Times New Roman" w:hAnsi="Times New Roman" w:cs="Times New Roman"/>
                <w:color w:val="auto"/>
                <w:kern w:val="0"/>
                <w:sz w:val="18"/>
                <w:szCs w:val="18"/>
                <w:highlight w:val="none"/>
                <w:lang w:val="en-US" w:eastAsia="zh-CN"/>
              </w:rPr>
              <w:t>10</w:t>
            </w:r>
            <w:r>
              <w:rPr>
                <w:rFonts w:hint="default" w:ascii="Times New Roman" w:hAnsi="Times New Roman" w:cs="Times New Roman" w:eastAsiaTheme="minorEastAsia"/>
                <w:color w:val="auto"/>
                <w:kern w:val="0"/>
                <w:sz w:val="18"/>
                <w:szCs w:val="18"/>
                <w:highlight w:val="none"/>
                <w:lang w:val="en-US" w:eastAsia="zh-CN"/>
              </w:rPr>
              <w:t>瓶以上</w:t>
            </w:r>
          </w:p>
        </w:tc>
        <w:tc>
          <w:tcPr>
            <w:tcW w:w="545" w:type="pct"/>
            <w:gridSpan w:val="2"/>
            <w:shd w:val="clear" w:color="auto" w:fill="auto"/>
            <w:tcMar>
              <w:top w:w="15" w:type="dxa"/>
              <w:left w:w="15" w:type="dxa"/>
              <w:right w:w="15" w:type="dxa"/>
            </w:tcMar>
            <w:vAlign w:val="center"/>
          </w:tcPr>
          <w:p w14:paraId="59410A6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对单位可以处</w:t>
            </w:r>
            <w:r>
              <w:rPr>
                <w:rFonts w:hint="default" w:ascii="Times New Roman" w:hAnsi="Times New Roman" w:cs="Times New Roman" w:eastAsiaTheme="minorEastAsia"/>
                <w:color w:val="auto"/>
                <w:kern w:val="0"/>
                <w:sz w:val="18"/>
                <w:szCs w:val="18"/>
                <w:highlight w:val="none"/>
                <w:lang w:val="en-US"/>
              </w:rPr>
              <w:t>7万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元以下罚款，对个人可以处700元以上1000元以下罚款</w:t>
            </w:r>
          </w:p>
        </w:tc>
        <w:tc>
          <w:tcPr>
            <w:tcW w:w="260" w:type="pct"/>
            <w:gridSpan w:val="3"/>
            <w:vMerge w:val="continue"/>
            <w:shd w:val="clear" w:color="auto" w:fill="auto"/>
            <w:tcMar>
              <w:top w:w="15" w:type="dxa"/>
              <w:left w:w="15" w:type="dxa"/>
              <w:right w:w="15" w:type="dxa"/>
            </w:tcMar>
            <w:vAlign w:val="center"/>
          </w:tcPr>
          <w:p w14:paraId="08CAD00F">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012F3CDB">
            <w:pPr>
              <w:shd w:val="clear"/>
              <w:jc w:val="left"/>
              <w:rPr>
                <w:rFonts w:hint="default" w:ascii="Times New Roman" w:hAnsi="Times New Roman" w:cs="Times New Roman" w:eastAsiaTheme="minorEastAsia"/>
                <w:color w:val="auto"/>
                <w:sz w:val="18"/>
                <w:szCs w:val="18"/>
                <w:highlight w:val="none"/>
              </w:rPr>
            </w:pPr>
          </w:p>
        </w:tc>
      </w:tr>
      <w:tr w14:paraId="33BF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960" w:hRule="atLeast"/>
        </w:trPr>
        <w:tc>
          <w:tcPr>
            <w:tcW w:w="116" w:type="pct"/>
            <w:vMerge w:val="restart"/>
            <w:shd w:val="clear" w:color="auto" w:fill="auto"/>
            <w:tcMar>
              <w:top w:w="15" w:type="dxa"/>
              <w:left w:w="15" w:type="dxa"/>
              <w:right w:w="15" w:type="dxa"/>
            </w:tcMar>
            <w:vAlign w:val="center"/>
          </w:tcPr>
          <w:p w14:paraId="24653C0C">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134</w:t>
            </w:r>
          </w:p>
        </w:tc>
        <w:tc>
          <w:tcPr>
            <w:tcW w:w="411" w:type="pct"/>
            <w:gridSpan w:val="2"/>
            <w:vMerge w:val="restart"/>
            <w:shd w:val="clear" w:color="auto" w:fill="auto"/>
            <w:tcMar>
              <w:top w:w="15" w:type="dxa"/>
              <w:left w:w="15" w:type="dxa"/>
              <w:right w:w="15" w:type="dxa"/>
            </w:tcMar>
            <w:vAlign w:val="center"/>
          </w:tcPr>
          <w:p w14:paraId="7D457692">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改变燃气用途或者转供燃气，逾期不改正</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5E3851F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《城镇燃气管理条例》第二十八条</w:t>
            </w:r>
            <w:r>
              <w:rPr>
                <w:rFonts w:hint="default" w:ascii="Times New Roman" w:hAnsi="Times New Roman" w:cs="Times New Roman" w:eastAsiaTheme="minorEastAsia"/>
                <w:color w:val="auto"/>
                <w:kern w:val="0"/>
                <w:sz w:val="18"/>
                <w:szCs w:val="18"/>
                <w:highlight w:val="none"/>
                <w:lang w:eastAsia="zh-CN"/>
              </w:rPr>
              <w:t>第七项</w:t>
            </w:r>
            <w:r>
              <w:rPr>
                <w:rFonts w:hint="default" w:ascii="Times New Roman" w:hAnsi="Times New Roman" w:cs="Times New Roman" w:eastAsiaTheme="minorEastAsia"/>
                <w:color w:val="auto"/>
                <w:kern w:val="0"/>
                <w:sz w:val="18"/>
                <w:szCs w:val="18"/>
                <w:highlight w:val="none"/>
              </w:rPr>
              <w:t>：“燃气用户及相关单位和个人不得有下列行为：（七）改变燃气用途或者转供燃气。”</w:t>
            </w:r>
          </w:p>
        </w:tc>
        <w:tc>
          <w:tcPr>
            <w:tcW w:w="1314" w:type="pct"/>
            <w:gridSpan w:val="2"/>
            <w:vMerge w:val="restart"/>
            <w:shd w:val="clear" w:color="auto" w:fill="auto"/>
            <w:tcMar>
              <w:top w:w="15" w:type="dxa"/>
              <w:left w:w="15" w:type="dxa"/>
              <w:right w:w="15" w:type="dxa"/>
            </w:tcMar>
            <w:vAlign w:val="center"/>
          </w:tcPr>
          <w:p w14:paraId="4209E92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《城镇燃气管理条例》第四十九条第一款</w:t>
            </w:r>
            <w:r>
              <w:rPr>
                <w:rFonts w:hint="default" w:ascii="Times New Roman" w:hAnsi="Times New Roman" w:cs="Times New Roman" w:eastAsiaTheme="minorEastAsia"/>
                <w:color w:val="auto"/>
                <w:kern w:val="0"/>
                <w:sz w:val="18"/>
                <w:szCs w:val="18"/>
                <w:highlight w:val="none"/>
                <w:lang w:eastAsia="zh-CN"/>
              </w:rPr>
              <w:t>第六项</w:t>
            </w:r>
            <w:r>
              <w:rPr>
                <w:rFonts w:hint="default" w:ascii="Times New Roman" w:hAnsi="Times New Roman" w:cs="Times New Roman" w:eastAsiaTheme="minorEastAsia"/>
                <w:color w:val="auto"/>
                <w:kern w:val="0"/>
                <w:sz w:val="18"/>
                <w:szCs w:val="18"/>
                <w:highlight w:val="none"/>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六）改变燃气用途或者转供燃气的；”</w:t>
            </w:r>
          </w:p>
        </w:tc>
        <w:tc>
          <w:tcPr>
            <w:tcW w:w="177" w:type="pct"/>
            <w:gridSpan w:val="2"/>
            <w:shd w:val="clear" w:color="auto" w:fill="auto"/>
            <w:tcMar>
              <w:top w:w="15" w:type="dxa"/>
              <w:left w:w="15" w:type="dxa"/>
              <w:right w:w="15" w:type="dxa"/>
            </w:tcMar>
            <w:vAlign w:val="center"/>
          </w:tcPr>
          <w:p w14:paraId="086F7027">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1DF50706">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非以盈利为目的；</w:t>
            </w:r>
          </w:p>
          <w:p w14:paraId="4F531E8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尚未危及燃气设施或妨碍燃气设施正常使用</w:t>
            </w:r>
          </w:p>
        </w:tc>
        <w:tc>
          <w:tcPr>
            <w:tcW w:w="545" w:type="pct"/>
            <w:gridSpan w:val="2"/>
            <w:shd w:val="clear" w:color="auto" w:fill="auto"/>
            <w:tcMar>
              <w:top w:w="15" w:type="dxa"/>
              <w:left w:w="15" w:type="dxa"/>
              <w:right w:w="15" w:type="dxa"/>
            </w:tcMar>
            <w:vAlign w:val="center"/>
          </w:tcPr>
          <w:p w14:paraId="4FBEFC6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对单位可以处</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元以下罚款，对个人可以处300元以下罚款</w:t>
            </w:r>
          </w:p>
        </w:tc>
        <w:tc>
          <w:tcPr>
            <w:tcW w:w="260" w:type="pct"/>
            <w:gridSpan w:val="3"/>
            <w:vMerge w:val="restart"/>
            <w:shd w:val="clear" w:color="auto" w:fill="auto"/>
            <w:tcMar>
              <w:top w:w="15" w:type="dxa"/>
              <w:left w:w="15" w:type="dxa"/>
              <w:right w:w="15" w:type="dxa"/>
            </w:tcMar>
            <w:vAlign w:val="center"/>
          </w:tcPr>
          <w:p w14:paraId="2CC6337F">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责令限期改正；造成损失的，依法承担赔偿责任；构成犯罪的，依法追究刑事责任</w:t>
            </w:r>
          </w:p>
          <w:p w14:paraId="38DE27EE">
            <w:pPr>
              <w:widowControl/>
              <w:shd w:val="clear"/>
              <w:jc w:val="left"/>
              <w:textAlignment w:val="center"/>
              <w:rPr>
                <w:rFonts w:hint="default" w:ascii="Times New Roman" w:hAnsi="Times New Roman" w:cs="Times New Roman" w:eastAsiaTheme="minorEastAsia"/>
                <w:color w:val="auto"/>
                <w:sz w:val="18"/>
                <w:szCs w:val="18"/>
                <w:highlight w:val="none"/>
              </w:rPr>
            </w:pPr>
          </w:p>
          <w:p w14:paraId="30456C0F">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0C97B720">
            <w:pPr>
              <w:shd w:val="clear"/>
              <w:jc w:val="left"/>
              <w:rPr>
                <w:rFonts w:hint="default" w:ascii="Times New Roman" w:hAnsi="Times New Roman" w:cs="Times New Roman" w:eastAsiaTheme="minorEastAsia"/>
                <w:color w:val="auto"/>
                <w:sz w:val="18"/>
                <w:szCs w:val="18"/>
                <w:highlight w:val="none"/>
                <w:lang w:val="en-US" w:eastAsia="zh-CN"/>
              </w:rPr>
            </w:pPr>
          </w:p>
        </w:tc>
      </w:tr>
      <w:tr w14:paraId="3D70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960" w:hRule="atLeast"/>
        </w:trPr>
        <w:tc>
          <w:tcPr>
            <w:tcW w:w="116" w:type="pct"/>
            <w:vMerge w:val="continue"/>
            <w:shd w:val="clear" w:color="auto" w:fill="auto"/>
            <w:tcMar>
              <w:top w:w="15" w:type="dxa"/>
              <w:left w:w="15" w:type="dxa"/>
              <w:right w:w="15" w:type="dxa"/>
            </w:tcMar>
            <w:vAlign w:val="center"/>
          </w:tcPr>
          <w:p w14:paraId="36138752">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33D110DE">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238407FF">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7543B1BE">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4331F8CA">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6847DD7B">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以盈利为目的，涉案金额3000元以下；</w:t>
            </w:r>
          </w:p>
          <w:p w14:paraId="50EB7D6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造成燃气设施损害或妨碍燃气设施正常使用，存在安全隐患</w:t>
            </w:r>
          </w:p>
        </w:tc>
        <w:tc>
          <w:tcPr>
            <w:tcW w:w="545" w:type="pct"/>
            <w:gridSpan w:val="2"/>
            <w:shd w:val="clear" w:color="auto" w:fill="auto"/>
            <w:tcMar>
              <w:top w:w="15" w:type="dxa"/>
              <w:left w:w="15" w:type="dxa"/>
              <w:right w:w="15" w:type="dxa"/>
            </w:tcMar>
            <w:vAlign w:val="center"/>
          </w:tcPr>
          <w:p w14:paraId="4DB7386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对单位可以处</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7万</w:t>
            </w:r>
            <w:r>
              <w:rPr>
                <w:rFonts w:hint="default" w:ascii="Times New Roman" w:hAnsi="Times New Roman" w:cs="Times New Roman" w:eastAsiaTheme="minorEastAsia"/>
                <w:color w:val="auto"/>
                <w:kern w:val="0"/>
                <w:sz w:val="18"/>
                <w:szCs w:val="18"/>
                <w:highlight w:val="none"/>
              </w:rPr>
              <w:t>元以下罚款，对个人可以处300元以上700元以下罚款</w:t>
            </w:r>
          </w:p>
        </w:tc>
        <w:tc>
          <w:tcPr>
            <w:tcW w:w="260" w:type="pct"/>
            <w:gridSpan w:val="3"/>
            <w:vMerge w:val="continue"/>
            <w:shd w:val="clear" w:color="auto" w:fill="auto"/>
            <w:tcMar>
              <w:top w:w="15" w:type="dxa"/>
              <w:left w:w="15" w:type="dxa"/>
              <w:right w:w="15" w:type="dxa"/>
            </w:tcMar>
            <w:vAlign w:val="center"/>
          </w:tcPr>
          <w:p w14:paraId="7D1CB587">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681AB270">
            <w:pPr>
              <w:shd w:val="clear"/>
              <w:jc w:val="left"/>
              <w:rPr>
                <w:rFonts w:hint="default" w:ascii="Times New Roman" w:hAnsi="Times New Roman" w:cs="Times New Roman" w:eastAsiaTheme="minorEastAsia"/>
                <w:color w:val="auto"/>
                <w:sz w:val="18"/>
                <w:szCs w:val="18"/>
                <w:highlight w:val="none"/>
              </w:rPr>
            </w:pPr>
          </w:p>
        </w:tc>
      </w:tr>
      <w:tr w14:paraId="2F5F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960" w:hRule="atLeast"/>
        </w:trPr>
        <w:tc>
          <w:tcPr>
            <w:tcW w:w="116" w:type="pct"/>
            <w:vMerge w:val="continue"/>
            <w:shd w:val="clear" w:color="auto" w:fill="auto"/>
            <w:tcMar>
              <w:top w:w="15" w:type="dxa"/>
              <w:left w:w="15" w:type="dxa"/>
              <w:right w:w="15" w:type="dxa"/>
            </w:tcMar>
            <w:vAlign w:val="center"/>
          </w:tcPr>
          <w:p w14:paraId="2956D657">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406F59A0">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7DCDAAFA">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3437F024">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5394BBC4">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2B851B77">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以盈利为目的，涉案金额3000元以上</w:t>
            </w:r>
          </w:p>
        </w:tc>
        <w:tc>
          <w:tcPr>
            <w:tcW w:w="545" w:type="pct"/>
            <w:gridSpan w:val="2"/>
            <w:shd w:val="clear" w:color="auto" w:fill="auto"/>
            <w:tcMar>
              <w:top w:w="15" w:type="dxa"/>
              <w:left w:w="15" w:type="dxa"/>
              <w:right w:w="15" w:type="dxa"/>
            </w:tcMar>
            <w:vAlign w:val="center"/>
          </w:tcPr>
          <w:p w14:paraId="715C998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对单位可以处</w:t>
            </w:r>
            <w:r>
              <w:rPr>
                <w:rFonts w:hint="default" w:ascii="Times New Roman" w:hAnsi="Times New Roman" w:cs="Times New Roman" w:eastAsiaTheme="minorEastAsia"/>
                <w:color w:val="auto"/>
                <w:kern w:val="0"/>
                <w:sz w:val="18"/>
                <w:szCs w:val="18"/>
                <w:highlight w:val="none"/>
                <w:lang w:val="en-US"/>
              </w:rPr>
              <w:t>7万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元以下罚款，对个人可以处700元以上1000元以下罚款</w:t>
            </w:r>
          </w:p>
        </w:tc>
        <w:tc>
          <w:tcPr>
            <w:tcW w:w="260" w:type="pct"/>
            <w:gridSpan w:val="3"/>
            <w:vMerge w:val="continue"/>
            <w:shd w:val="clear" w:color="auto" w:fill="auto"/>
            <w:tcMar>
              <w:top w:w="15" w:type="dxa"/>
              <w:left w:w="15" w:type="dxa"/>
              <w:right w:w="15" w:type="dxa"/>
            </w:tcMar>
            <w:vAlign w:val="center"/>
          </w:tcPr>
          <w:p w14:paraId="0988573B">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021B6123">
            <w:pPr>
              <w:shd w:val="clear"/>
              <w:jc w:val="left"/>
              <w:rPr>
                <w:rFonts w:hint="default" w:ascii="Times New Roman" w:hAnsi="Times New Roman" w:cs="Times New Roman" w:eastAsiaTheme="minorEastAsia"/>
                <w:color w:val="auto"/>
                <w:sz w:val="18"/>
                <w:szCs w:val="18"/>
                <w:highlight w:val="none"/>
              </w:rPr>
            </w:pPr>
          </w:p>
        </w:tc>
      </w:tr>
      <w:tr w14:paraId="3913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923" w:hRule="atLeast"/>
        </w:trPr>
        <w:tc>
          <w:tcPr>
            <w:tcW w:w="116" w:type="pct"/>
            <w:vMerge w:val="restart"/>
            <w:shd w:val="clear" w:color="auto" w:fill="auto"/>
            <w:tcMar>
              <w:top w:w="15" w:type="dxa"/>
              <w:left w:w="15" w:type="dxa"/>
              <w:right w:w="15" w:type="dxa"/>
            </w:tcMar>
            <w:vAlign w:val="center"/>
          </w:tcPr>
          <w:p w14:paraId="679A3D3D">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135</w:t>
            </w:r>
          </w:p>
        </w:tc>
        <w:tc>
          <w:tcPr>
            <w:tcW w:w="411" w:type="pct"/>
            <w:gridSpan w:val="2"/>
            <w:vMerge w:val="restart"/>
            <w:shd w:val="clear" w:color="auto" w:fill="auto"/>
            <w:tcMar>
              <w:top w:w="15" w:type="dxa"/>
              <w:left w:w="15" w:type="dxa"/>
              <w:right w:w="15" w:type="dxa"/>
            </w:tcMar>
            <w:vAlign w:val="center"/>
          </w:tcPr>
          <w:p w14:paraId="57B18D11">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未设立售后服务站点或者未配备经考核合格的燃气燃烧器具安装、维修人员，逾期不改正</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32E216F9">
            <w:pPr>
              <w:widowControl/>
              <w:shd w:val="clear"/>
              <w:spacing w:after="160"/>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《城镇燃气管理条例》第三十二条第一款：“燃气燃烧器具生产单位、销售单位应当设立或者委托设立售后服务站点，配备经考核合格的燃气燃烧器具安装、维修人员，负责售后的安装、维修服务。”</w:t>
            </w:r>
          </w:p>
        </w:tc>
        <w:tc>
          <w:tcPr>
            <w:tcW w:w="1314" w:type="pct"/>
            <w:gridSpan w:val="2"/>
            <w:vMerge w:val="restart"/>
            <w:shd w:val="clear" w:color="auto" w:fill="auto"/>
            <w:tcMar>
              <w:top w:w="15" w:type="dxa"/>
              <w:left w:w="15" w:type="dxa"/>
              <w:right w:w="15" w:type="dxa"/>
            </w:tcMar>
            <w:vAlign w:val="center"/>
          </w:tcPr>
          <w:p w14:paraId="7CCCEAC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《城镇燃气管理条例》第四十九条第一款</w:t>
            </w:r>
            <w:r>
              <w:rPr>
                <w:rFonts w:hint="default" w:ascii="Times New Roman" w:hAnsi="Times New Roman" w:cs="Times New Roman" w:eastAsiaTheme="minorEastAsia"/>
                <w:color w:val="auto"/>
                <w:kern w:val="0"/>
                <w:sz w:val="18"/>
                <w:szCs w:val="18"/>
                <w:highlight w:val="none"/>
                <w:lang w:eastAsia="zh-CN"/>
              </w:rPr>
              <w:t>第七项</w:t>
            </w:r>
            <w:r>
              <w:rPr>
                <w:rFonts w:hint="default" w:ascii="Times New Roman" w:hAnsi="Times New Roman" w:cs="Times New Roman" w:eastAsiaTheme="minorEastAsia"/>
                <w:color w:val="auto"/>
                <w:kern w:val="0"/>
                <w:sz w:val="18"/>
                <w:szCs w:val="18"/>
                <w:highlight w:val="none"/>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七）未设立售后服务站点或者未配备经考核合格的燃气燃烧器具安装、维修人员的；”</w:t>
            </w:r>
          </w:p>
        </w:tc>
        <w:tc>
          <w:tcPr>
            <w:tcW w:w="177" w:type="pct"/>
            <w:gridSpan w:val="2"/>
            <w:shd w:val="clear" w:color="auto" w:fill="auto"/>
            <w:tcMar>
              <w:top w:w="15" w:type="dxa"/>
              <w:left w:w="15" w:type="dxa"/>
              <w:right w:w="15" w:type="dxa"/>
            </w:tcMar>
            <w:vAlign w:val="center"/>
          </w:tcPr>
          <w:p w14:paraId="210A3ECA">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3C9399BE">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未</w:t>
            </w:r>
            <w:r>
              <w:rPr>
                <w:rFonts w:hint="default" w:ascii="Times New Roman" w:hAnsi="Times New Roman" w:cs="Times New Roman" w:eastAsiaTheme="minorEastAsia"/>
                <w:color w:val="auto"/>
                <w:kern w:val="0"/>
                <w:sz w:val="18"/>
                <w:szCs w:val="18"/>
                <w:highlight w:val="none"/>
                <w:lang w:eastAsia="zh-CN"/>
              </w:rPr>
              <w:t>按要求</w:t>
            </w:r>
            <w:r>
              <w:rPr>
                <w:rFonts w:hint="default" w:ascii="Times New Roman" w:hAnsi="Times New Roman" w:cs="Times New Roman" w:eastAsiaTheme="minorEastAsia"/>
                <w:color w:val="auto"/>
                <w:kern w:val="0"/>
                <w:sz w:val="18"/>
                <w:szCs w:val="18"/>
                <w:highlight w:val="none"/>
              </w:rPr>
              <w:t>设立售后服务站点</w:t>
            </w:r>
            <w:r>
              <w:rPr>
                <w:rFonts w:hint="default" w:ascii="Times New Roman" w:hAnsi="Times New Roman" w:cs="Times New Roman" w:eastAsiaTheme="minorEastAsia"/>
                <w:color w:val="auto"/>
                <w:kern w:val="0"/>
                <w:sz w:val="18"/>
                <w:szCs w:val="18"/>
                <w:highlight w:val="none"/>
                <w:lang w:val="en-US" w:eastAsia="zh-CN"/>
              </w:rPr>
              <w:t>1</w:t>
            </w: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w:t>
            </w:r>
          </w:p>
          <w:p w14:paraId="5179F02A">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未按要求配备经考核合格的</w:t>
            </w:r>
            <w:r>
              <w:rPr>
                <w:rFonts w:hint="default" w:ascii="Times New Roman" w:hAnsi="Times New Roman" w:cs="Times New Roman" w:eastAsiaTheme="minorEastAsia"/>
                <w:color w:val="auto"/>
                <w:kern w:val="0"/>
                <w:sz w:val="18"/>
                <w:szCs w:val="18"/>
                <w:highlight w:val="none"/>
              </w:rPr>
              <w:t>燃气燃烧器具安装、维修人员</w:t>
            </w:r>
            <w:r>
              <w:rPr>
                <w:rFonts w:hint="default" w:ascii="Times New Roman" w:hAnsi="Times New Roman" w:cs="Times New Roman" w:eastAsiaTheme="minorEastAsia"/>
                <w:color w:val="auto"/>
                <w:kern w:val="0"/>
                <w:sz w:val="18"/>
                <w:szCs w:val="18"/>
                <w:highlight w:val="none"/>
                <w:lang w:val="en-US" w:eastAsia="zh-CN"/>
              </w:rPr>
              <w:t>1人</w:t>
            </w:r>
            <w:r>
              <w:rPr>
                <w:rFonts w:hint="default" w:ascii="Times New Roman" w:hAnsi="Times New Roman" w:cs="Times New Roman" w:eastAsiaTheme="minorEastAsia"/>
                <w:color w:val="auto"/>
                <w:kern w:val="0"/>
                <w:sz w:val="18"/>
                <w:szCs w:val="18"/>
                <w:highlight w:val="none"/>
                <w:lang w:eastAsia="zh-CN"/>
              </w:rPr>
              <w:t>；</w:t>
            </w:r>
          </w:p>
          <w:p w14:paraId="2CD6095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经营时间</w:t>
            </w:r>
            <w:r>
              <w:rPr>
                <w:rFonts w:hint="default" w:ascii="Times New Roman" w:hAnsi="Times New Roman" w:cs="Times New Roman" w:eastAsiaTheme="minorEastAsia"/>
                <w:color w:val="auto"/>
                <w:kern w:val="0"/>
                <w:sz w:val="18"/>
                <w:szCs w:val="18"/>
                <w:highlight w:val="none"/>
                <w:lang w:val="en-US" w:eastAsia="zh-CN"/>
              </w:rPr>
              <w:t>1个月以下</w:t>
            </w:r>
          </w:p>
        </w:tc>
        <w:tc>
          <w:tcPr>
            <w:tcW w:w="545" w:type="pct"/>
            <w:gridSpan w:val="2"/>
            <w:shd w:val="clear" w:color="auto" w:fill="auto"/>
            <w:tcMar>
              <w:top w:w="15" w:type="dxa"/>
              <w:left w:w="15" w:type="dxa"/>
              <w:right w:w="15" w:type="dxa"/>
            </w:tcMar>
            <w:vAlign w:val="center"/>
          </w:tcPr>
          <w:p w14:paraId="18568D4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对单位可以处</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元以下罚款，对个人可以处300元以下罚款</w:t>
            </w:r>
          </w:p>
        </w:tc>
        <w:tc>
          <w:tcPr>
            <w:tcW w:w="260" w:type="pct"/>
            <w:gridSpan w:val="3"/>
            <w:vMerge w:val="restart"/>
            <w:shd w:val="clear" w:color="auto" w:fill="auto"/>
            <w:tcMar>
              <w:top w:w="15" w:type="dxa"/>
              <w:left w:w="15" w:type="dxa"/>
              <w:right w:w="15" w:type="dxa"/>
            </w:tcMar>
            <w:vAlign w:val="center"/>
          </w:tcPr>
          <w:p w14:paraId="5C2B4515">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责令限期改正；造成损失的，依法承担赔偿责任；构成犯罪的，依法追究刑事责任</w:t>
            </w:r>
          </w:p>
          <w:p w14:paraId="4E2057E9">
            <w:pPr>
              <w:widowControl/>
              <w:shd w:val="clear"/>
              <w:jc w:val="left"/>
              <w:textAlignment w:val="center"/>
              <w:rPr>
                <w:rFonts w:hint="default" w:ascii="Times New Roman" w:hAnsi="Times New Roman" w:cs="Times New Roman" w:eastAsiaTheme="minorEastAsia"/>
                <w:color w:val="auto"/>
                <w:sz w:val="18"/>
                <w:szCs w:val="18"/>
                <w:highlight w:val="none"/>
              </w:rPr>
            </w:pPr>
          </w:p>
          <w:p w14:paraId="1E0020FC">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7E7755F9">
            <w:pPr>
              <w:shd w:val="clear"/>
              <w:jc w:val="left"/>
              <w:rPr>
                <w:rFonts w:hint="default" w:ascii="Times New Roman" w:hAnsi="Times New Roman" w:cs="Times New Roman" w:eastAsiaTheme="minorEastAsia"/>
                <w:color w:val="auto"/>
                <w:sz w:val="18"/>
                <w:szCs w:val="18"/>
                <w:highlight w:val="none"/>
                <w:lang w:val="en-US" w:eastAsia="zh-CN"/>
              </w:rPr>
            </w:pPr>
          </w:p>
        </w:tc>
      </w:tr>
      <w:tr w14:paraId="4B02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691" w:hRule="atLeast"/>
        </w:trPr>
        <w:tc>
          <w:tcPr>
            <w:tcW w:w="116" w:type="pct"/>
            <w:vMerge w:val="continue"/>
            <w:shd w:val="clear" w:color="auto" w:fill="auto"/>
            <w:tcMar>
              <w:top w:w="15" w:type="dxa"/>
              <w:left w:w="15" w:type="dxa"/>
              <w:right w:w="15" w:type="dxa"/>
            </w:tcMar>
            <w:vAlign w:val="center"/>
          </w:tcPr>
          <w:p w14:paraId="0C99756B">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13B10B35">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342CE4A8">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41C9F61E">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6D0DBA21">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0E0A0893">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未</w:t>
            </w:r>
            <w:r>
              <w:rPr>
                <w:rFonts w:hint="default" w:ascii="Times New Roman" w:hAnsi="Times New Roman" w:cs="Times New Roman" w:eastAsiaTheme="minorEastAsia"/>
                <w:color w:val="auto"/>
                <w:kern w:val="0"/>
                <w:sz w:val="18"/>
                <w:szCs w:val="18"/>
                <w:highlight w:val="none"/>
                <w:lang w:eastAsia="zh-CN"/>
              </w:rPr>
              <w:t>按要求</w:t>
            </w:r>
            <w:r>
              <w:rPr>
                <w:rFonts w:hint="default" w:ascii="Times New Roman" w:hAnsi="Times New Roman" w:cs="Times New Roman" w:eastAsiaTheme="minorEastAsia"/>
                <w:color w:val="auto"/>
                <w:kern w:val="0"/>
                <w:sz w:val="18"/>
                <w:szCs w:val="18"/>
                <w:highlight w:val="none"/>
              </w:rPr>
              <w:t>设立售后服务站点</w:t>
            </w:r>
            <w:r>
              <w:rPr>
                <w:rFonts w:hint="default" w:ascii="Times New Roman" w:hAnsi="Times New Roman" w:cs="Times New Roman" w:eastAsiaTheme="minorEastAsia"/>
                <w:color w:val="auto"/>
                <w:kern w:val="0"/>
                <w:sz w:val="18"/>
                <w:szCs w:val="18"/>
                <w:highlight w:val="none"/>
                <w:lang w:val="en-US" w:eastAsia="zh-CN"/>
              </w:rPr>
              <w:t>2</w:t>
            </w: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eastAsia="zh-CN"/>
              </w:rPr>
              <w:t>；</w:t>
            </w:r>
          </w:p>
          <w:p w14:paraId="1C812DDC">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未</w:t>
            </w:r>
            <w:r>
              <w:rPr>
                <w:rFonts w:hint="default" w:ascii="Times New Roman" w:hAnsi="Times New Roman" w:cs="Times New Roman" w:eastAsiaTheme="minorEastAsia"/>
                <w:color w:val="auto"/>
                <w:kern w:val="0"/>
                <w:sz w:val="18"/>
                <w:szCs w:val="18"/>
                <w:highlight w:val="none"/>
                <w:lang w:eastAsia="zh-CN"/>
              </w:rPr>
              <w:t>按要求</w:t>
            </w:r>
            <w:r>
              <w:rPr>
                <w:rFonts w:hint="default" w:ascii="Times New Roman" w:hAnsi="Times New Roman" w:cs="Times New Roman" w:eastAsiaTheme="minorEastAsia"/>
                <w:color w:val="auto"/>
                <w:kern w:val="0"/>
                <w:sz w:val="18"/>
                <w:szCs w:val="18"/>
                <w:highlight w:val="none"/>
              </w:rPr>
              <w:t>配备经考核合格的燃气燃烧器具安装、维修人员</w:t>
            </w:r>
            <w:r>
              <w:rPr>
                <w:rFonts w:hint="default" w:ascii="Times New Roman" w:hAnsi="Times New Roman" w:cs="Times New Roman" w:eastAsiaTheme="minorEastAsia"/>
                <w:color w:val="auto"/>
                <w:kern w:val="0"/>
                <w:sz w:val="18"/>
                <w:szCs w:val="18"/>
                <w:highlight w:val="none"/>
                <w:lang w:val="en-US" w:eastAsia="zh-CN"/>
              </w:rPr>
              <w:t>2</w:t>
            </w:r>
            <w:r>
              <w:rPr>
                <w:rFonts w:hint="default" w:ascii="Times New Roman" w:hAnsi="Times New Roman" w:cs="Times New Roman" w:eastAsiaTheme="minorEastAsia"/>
                <w:color w:val="auto"/>
                <w:kern w:val="0"/>
                <w:sz w:val="18"/>
                <w:szCs w:val="18"/>
                <w:highlight w:val="none"/>
              </w:rPr>
              <w:t>人</w:t>
            </w:r>
            <w:r>
              <w:rPr>
                <w:rFonts w:hint="default" w:ascii="Times New Roman" w:hAnsi="Times New Roman" w:cs="Times New Roman" w:eastAsiaTheme="minorEastAsia"/>
                <w:color w:val="auto"/>
                <w:kern w:val="0"/>
                <w:sz w:val="18"/>
                <w:szCs w:val="18"/>
                <w:highlight w:val="none"/>
                <w:lang w:eastAsia="zh-CN"/>
              </w:rPr>
              <w:t>；</w:t>
            </w:r>
          </w:p>
          <w:p w14:paraId="4102CC6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经营时间</w:t>
            </w:r>
            <w:r>
              <w:rPr>
                <w:rFonts w:hint="default" w:ascii="Times New Roman" w:hAnsi="Times New Roman" w:cs="Times New Roman" w:eastAsiaTheme="minorEastAsia"/>
                <w:color w:val="auto"/>
                <w:kern w:val="0"/>
                <w:sz w:val="18"/>
                <w:szCs w:val="18"/>
                <w:highlight w:val="none"/>
                <w:lang w:val="en-US" w:eastAsia="zh-CN"/>
              </w:rPr>
              <w:t>1个月以上2个月以下</w:t>
            </w:r>
          </w:p>
        </w:tc>
        <w:tc>
          <w:tcPr>
            <w:tcW w:w="545" w:type="pct"/>
            <w:gridSpan w:val="2"/>
            <w:shd w:val="clear" w:color="auto" w:fill="auto"/>
            <w:tcMar>
              <w:top w:w="15" w:type="dxa"/>
              <w:left w:w="15" w:type="dxa"/>
              <w:right w:w="15" w:type="dxa"/>
            </w:tcMar>
            <w:vAlign w:val="center"/>
          </w:tcPr>
          <w:p w14:paraId="2CC4F6E6">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对单位可以处</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7万</w:t>
            </w:r>
            <w:r>
              <w:rPr>
                <w:rFonts w:hint="default" w:ascii="Times New Roman" w:hAnsi="Times New Roman" w:cs="Times New Roman" w:eastAsiaTheme="minorEastAsia"/>
                <w:color w:val="auto"/>
                <w:kern w:val="0"/>
                <w:sz w:val="18"/>
                <w:szCs w:val="18"/>
                <w:highlight w:val="none"/>
              </w:rPr>
              <w:t>元以下罚款，对个人可以处300元以上700元以下罚款</w:t>
            </w:r>
          </w:p>
        </w:tc>
        <w:tc>
          <w:tcPr>
            <w:tcW w:w="260" w:type="pct"/>
            <w:gridSpan w:val="3"/>
            <w:vMerge w:val="continue"/>
            <w:shd w:val="clear" w:color="auto" w:fill="auto"/>
            <w:tcMar>
              <w:top w:w="15" w:type="dxa"/>
              <w:left w:w="15" w:type="dxa"/>
              <w:right w:w="15" w:type="dxa"/>
            </w:tcMar>
            <w:vAlign w:val="center"/>
          </w:tcPr>
          <w:p w14:paraId="1EF60DF1">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1B56D353">
            <w:pPr>
              <w:shd w:val="clear"/>
              <w:jc w:val="left"/>
              <w:rPr>
                <w:rFonts w:hint="default" w:ascii="Times New Roman" w:hAnsi="Times New Roman" w:cs="Times New Roman" w:eastAsiaTheme="minorEastAsia"/>
                <w:color w:val="auto"/>
                <w:sz w:val="18"/>
                <w:szCs w:val="18"/>
                <w:highlight w:val="none"/>
              </w:rPr>
            </w:pPr>
          </w:p>
        </w:tc>
      </w:tr>
      <w:tr w14:paraId="2F62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63" w:hRule="atLeast"/>
        </w:trPr>
        <w:tc>
          <w:tcPr>
            <w:tcW w:w="116" w:type="pct"/>
            <w:vMerge w:val="continue"/>
            <w:shd w:val="clear" w:color="auto" w:fill="auto"/>
            <w:tcMar>
              <w:top w:w="15" w:type="dxa"/>
              <w:left w:w="15" w:type="dxa"/>
              <w:right w:w="15" w:type="dxa"/>
            </w:tcMar>
            <w:vAlign w:val="center"/>
          </w:tcPr>
          <w:p w14:paraId="79950101">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4A134C95">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41A6831E">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3C63911B">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5A23ECDC">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4A98826D">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未</w:t>
            </w:r>
            <w:r>
              <w:rPr>
                <w:rFonts w:hint="default" w:ascii="Times New Roman" w:hAnsi="Times New Roman" w:cs="Times New Roman" w:eastAsiaTheme="minorEastAsia"/>
                <w:color w:val="auto"/>
                <w:kern w:val="0"/>
                <w:sz w:val="18"/>
                <w:szCs w:val="18"/>
                <w:highlight w:val="none"/>
                <w:lang w:eastAsia="zh-CN"/>
              </w:rPr>
              <w:t>按要求</w:t>
            </w:r>
            <w:r>
              <w:rPr>
                <w:rFonts w:hint="default" w:ascii="Times New Roman" w:hAnsi="Times New Roman" w:cs="Times New Roman" w:eastAsiaTheme="minorEastAsia"/>
                <w:color w:val="auto"/>
                <w:kern w:val="0"/>
                <w:sz w:val="18"/>
                <w:szCs w:val="18"/>
                <w:highlight w:val="none"/>
              </w:rPr>
              <w:t>设立售后服务站点</w:t>
            </w:r>
            <w:r>
              <w:rPr>
                <w:rFonts w:hint="default" w:ascii="Times New Roman" w:hAnsi="Times New Roman" w:cs="Times New Roman" w:eastAsiaTheme="minorEastAsia"/>
                <w:color w:val="auto"/>
                <w:kern w:val="0"/>
                <w:sz w:val="18"/>
                <w:szCs w:val="18"/>
                <w:highlight w:val="none"/>
                <w:lang w:val="en-US" w:eastAsia="zh-CN"/>
              </w:rPr>
              <w:t>3</w:t>
            </w: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lang w:val="en-US" w:eastAsia="zh-CN"/>
              </w:rPr>
              <w:t>;</w:t>
            </w:r>
          </w:p>
          <w:p w14:paraId="3A6F542C">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未</w:t>
            </w:r>
            <w:r>
              <w:rPr>
                <w:rFonts w:hint="default" w:ascii="Times New Roman" w:hAnsi="Times New Roman" w:cs="Times New Roman" w:eastAsiaTheme="minorEastAsia"/>
                <w:color w:val="auto"/>
                <w:kern w:val="0"/>
                <w:sz w:val="18"/>
                <w:szCs w:val="18"/>
                <w:highlight w:val="none"/>
                <w:lang w:eastAsia="zh-CN"/>
              </w:rPr>
              <w:t>按要求</w:t>
            </w:r>
            <w:r>
              <w:rPr>
                <w:rFonts w:hint="default" w:ascii="Times New Roman" w:hAnsi="Times New Roman" w:cs="Times New Roman" w:eastAsiaTheme="minorEastAsia"/>
                <w:color w:val="auto"/>
                <w:kern w:val="0"/>
                <w:sz w:val="18"/>
                <w:szCs w:val="18"/>
                <w:highlight w:val="none"/>
              </w:rPr>
              <w:t>配备经考核合格的燃气燃烧器具安装、维修人员</w:t>
            </w:r>
            <w:r>
              <w:rPr>
                <w:rFonts w:hint="default" w:ascii="Times New Roman" w:hAnsi="Times New Roman" w:cs="Times New Roman" w:eastAsiaTheme="minorEastAsia"/>
                <w:color w:val="auto"/>
                <w:kern w:val="0"/>
                <w:sz w:val="18"/>
                <w:szCs w:val="18"/>
                <w:highlight w:val="none"/>
                <w:lang w:val="en-US" w:eastAsia="zh-CN"/>
              </w:rPr>
              <w:t>3人以上</w:t>
            </w:r>
            <w:r>
              <w:rPr>
                <w:rFonts w:hint="default" w:ascii="Times New Roman" w:hAnsi="Times New Roman" w:cs="Times New Roman" w:eastAsiaTheme="minorEastAsia"/>
                <w:color w:val="auto"/>
                <w:kern w:val="0"/>
                <w:sz w:val="18"/>
                <w:szCs w:val="18"/>
                <w:highlight w:val="none"/>
                <w:lang w:eastAsia="zh-CN"/>
              </w:rPr>
              <w:t>；</w:t>
            </w:r>
          </w:p>
          <w:p w14:paraId="6EF74FB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经营时间</w:t>
            </w:r>
            <w:r>
              <w:rPr>
                <w:rFonts w:hint="default" w:ascii="Times New Roman" w:hAnsi="Times New Roman" w:cs="Times New Roman" w:eastAsiaTheme="minorEastAsia"/>
                <w:color w:val="auto"/>
                <w:kern w:val="0"/>
                <w:sz w:val="18"/>
                <w:szCs w:val="18"/>
                <w:highlight w:val="none"/>
                <w:lang w:val="en-US" w:eastAsia="zh-CN"/>
              </w:rPr>
              <w:t>2个月以上</w:t>
            </w:r>
          </w:p>
        </w:tc>
        <w:tc>
          <w:tcPr>
            <w:tcW w:w="545" w:type="pct"/>
            <w:gridSpan w:val="2"/>
            <w:shd w:val="clear" w:color="auto" w:fill="auto"/>
            <w:tcMar>
              <w:top w:w="15" w:type="dxa"/>
              <w:left w:w="15" w:type="dxa"/>
              <w:right w:w="15" w:type="dxa"/>
            </w:tcMar>
            <w:vAlign w:val="center"/>
          </w:tcPr>
          <w:p w14:paraId="38EB6C5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对单位可以处</w:t>
            </w:r>
            <w:r>
              <w:rPr>
                <w:rFonts w:hint="default" w:ascii="Times New Roman" w:hAnsi="Times New Roman" w:cs="Times New Roman" w:eastAsiaTheme="minorEastAsia"/>
                <w:color w:val="auto"/>
                <w:kern w:val="0"/>
                <w:sz w:val="18"/>
                <w:szCs w:val="18"/>
                <w:highlight w:val="none"/>
                <w:lang w:val="en-US"/>
              </w:rPr>
              <w:t>7万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元以下罚款，对个人可以处700元以上1000元以下罚款</w:t>
            </w:r>
          </w:p>
        </w:tc>
        <w:tc>
          <w:tcPr>
            <w:tcW w:w="260" w:type="pct"/>
            <w:gridSpan w:val="3"/>
            <w:vMerge w:val="continue"/>
            <w:shd w:val="clear" w:color="auto" w:fill="auto"/>
            <w:tcMar>
              <w:top w:w="15" w:type="dxa"/>
              <w:left w:w="15" w:type="dxa"/>
              <w:right w:w="15" w:type="dxa"/>
            </w:tcMar>
            <w:vAlign w:val="center"/>
          </w:tcPr>
          <w:p w14:paraId="1719901D">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604D249B">
            <w:pPr>
              <w:shd w:val="clear"/>
              <w:jc w:val="left"/>
              <w:rPr>
                <w:rFonts w:hint="default" w:ascii="Times New Roman" w:hAnsi="Times New Roman" w:cs="Times New Roman" w:eastAsiaTheme="minorEastAsia"/>
                <w:color w:val="auto"/>
                <w:sz w:val="18"/>
                <w:szCs w:val="18"/>
                <w:highlight w:val="none"/>
              </w:rPr>
            </w:pPr>
          </w:p>
        </w:tc>
      </w:tr>
      <w:tr w14:paraId="5BD2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448" w:hRule="atLeast"/>
        </w:trPr>
        <w:tc>
          <w:tcPr>
            <w:tcW w:w="116" w:type="pct"/>
            <w:vMerge w:val="restart"/>
            <w:shd w:val="clear" w:color="auto" w:fill="auto"/>
            <w:tcMar>
              <w:top w:w="15" w:type="dxa"/>
              <w:left w:w="15" w:type="dxa"/>
              <w:right w:w="15" w:type="dxa"/>
            </w:tcMar>
            <w:vAlign w:val="center"/>
          </w:tcPr>
          <w:p w14:paraId="2B9B9A69">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136</w:t>
            </w:r>
          </w:p>
        </w:tc>
        <w:tc>
          <w:tcPr>
            <w:tcW w:w="411" w:type="pct"/>
            <w:gridSpan w:val="2"/>
            <w:vMerge w:val="restart"/>
            <w:shd w:val="clear" w:color="auto" w:fill="auto"/>
            <w:tcMar>
              <w:top w:w="15" w:type="dxa"/>
              <w:left w:w="15" w:type="dxa"/>
              <w:right w:w="15" w:type="dxa"/>
            </w:tcMar>
            <w:vAlign w:val="center"/>
          </w:tcPr>
          <w:p w14:paraId="3CD73674">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燃气燃烧器具的安装、维修不符合国家有关标准，逾期不改正</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7A0F53A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《城镇燃气管理条例》第三十二条第二款：“燃气燃烧器具的安装、维修，应当符合国家有关标准。”</w:t>
            </w:r>
          </w:p>
        </w:tc>
        <w:tc>
          <w:tcPr>
            <w:tcW w:w="1314" w:type="pct"/>
            <w:gridSpan w:val="2"/>
            <w:vMerge w:val="restart"/>
            <w:shd w:val="clear" w:color="auto" w:fill="auto"/>
            <w:tcMar>
              <w:top w:w="15" w:type="dxa"/>
              <w:left w:w="15" w:type="dxa"/>
              <w:right w:w="15" w:type="dxa"/>
            </w:tcMar>
            <w:vAlign w:val="center"/>
          </w:tcPr>
          <w:p w14:paraId="5B46098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《城镇燃气管理条例》第四十九条第一款</w:t>
            </w:r>
            <w:r>
              <w:rPr>
                <w:rFonts w:hint="default" w:ascii="Times New Roman" w:hAnsi="Times New Roman" w:cs="Times New Roman" w:eastAsiaTheme="minorEastAsia"/>
                <w:color w:val="auto"/>
                <w:kern w:val="0"/>
                <w:sz w:val="18"/>
                <w:szCs w:val="18"/>
                <w:highlight w:val="none"/>
                <w:lang w:eastAsia="zh-CN"/>
              </w:rPr>
              <w:t>第八项</w:t>
            </w:r>
            <w:r>
              <w:rPr>
                <w:rFonts w:hint="default" w:ascii="Times New Roman" w:hAnsi="Times New Roman" w:cs="Times New Roman" w:eastAsiaTheme="minorEastAsia"/>
                <w:color w:val="auto"/>
                <w:kern w:val="0"/>
                <w:sz w:val="18"/>
                <w:szCs w:val="18"/>
                <w:highlight w:val="none"/>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八）燃气燃烧器具的安装、维修不符合国家有关标准的。”</w:t>
            </w:r>
          </w:p>
        </w:tc>
        <w:tc>
          <w:tcPr>
            <w:tcW w:w="177" w:type="pct"/>
            <w:gridSpan w:val="2"/>
            <w:shd w:val="clear" w:color="auto" w:fill="auto"/>
            <w:tcMar>
              <w:top w:w="15" w:type="dxa"/>
              <w:left w:w="15" w:type="dxa"/>
              <w:right w:w="15" w:type="dxa"/>
            </w:tcMar>
            <w:vAlign w:val="center"/>
          </w:tcPr>
          <w:p w14:paraId="52972E66">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429AE31F">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安装或维修</w:t>
            </w:r>
            <w:r>
              <w:rPr>
                <w:rFonts w:hint="default" w:ascii="Times New Roman" w:hAnsi="Times New Roman" w:cs="Times New Roman" w:eastAsiaTheme="minorEastAsia"/>
                <w:color w:val="auto"/>
                <w:kern w:val="0"/>
                <w:sz w:val="18"/>
                <w:szCs w:val="18"/>
                <w:highlight w:val="none"/>
                <w:lang w:val="en-US" w:eastAsia="zh-CN"/>
              </w:rPr>
              <w:t>10台以下；</w:t>
            </w:r>
          </w:p>
          <w:p w14:paraId="52A2CD3C">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尚未危及燃气设施或妨碍燃气设施正常使用</w:t>
            </w:r>
          </w:p>
        </w:tc>
        <w:tc>
          <w:tcPr>
            <w:tcW w:w="545" w:type="pct"/>
            <w:gridSpan w:val="2"/>
            <w:shd w:val="clear" w:color="auto" w:fill="auto"/>
            <w:tcMar>
              <w:top w:w="15" w:type="dxa"/>
              <w:left w:w="15" w:type="dxa"/>
              <w:right w:w="15" w:type="dxa"/>
            </w:tcMar>
            <w:vAlign w:val="center"/>
          </w:tcPr>
          <w:p w14:paraId="244D24A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对单位可以处</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元以下罚款，对个人可以处300元以下罚款</w:t>
            </w:r>
          </w:p>
        </w:tc>
        <w:tc>
          <w:tcPr>
            <w:tcW w:w="260" w:type="pct"/>
            <w:gridSpan w:val="3"/>
            <w:vMerge w:val="restart"/>
            <w:shd w:val="clear" w:color="auto" w:fill="auto"/>
            <w:tcMar>
              <w:top w:w="15" w:type="dxa"/>
              <w:left w:w="15" w:type="dxa"/>
              <w:right w:w="15" w:type="dxa"/>
            </w:tcMar>
            <w:vAlign w:val="center"/>
          </w:tcPr>
          <w:p w14:paraId="6A816529">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责令限期改正；造成损失的，依法承担赔偿责任；构成犯罪的，依法追究刑事责任</w:t>
            </w:r>
          </w:p>
          <w:p w14:paraId="38468045">
            <w:pPr>
              <w:widowControl/>
              <w:shd w:val="clear"/>
              <w:jc w:val="left"/>
              <w:textAlignment w:val="center"/>
              <w:rPr>
                <w:rFonts w:hint="default" w:ascii="Times New Roman" w:hAnsi="Times New Roman" w:cs="Times New Roman" w:eastAsiaTheme="minorEastAsia"/>
                <w:color w:val="auto"/>
                <w:sz w:val="18"/>
                <w:szCs w:val="18"/>
                <w:highlight w:val="none"/>
              </w:rPr>
            </w:pPr>
          </w:p>
          <w:p w14:paraId="2AF7E6FD">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1B117997">
            <w:pPr>
              <w:shd w:val="clear"/>
              <w:jc w:val="left"/>
              <w:rPr>
                <w:rFonts w:hint="default" w:ascii="Times New Roman" w:hAnsi="Times New Roman" w:cs="Times New Roman" w:eastAsiaTheme="minorEastAsia"/>
                <w:color w:val="auto"/>
                <w:sz w:val="18"/>
                <w:szCs w:val="18"/>
                <w:highlight w:val="none"/>
                <w:lang w:val="en-US" w:eastAsia="zh-CN"/>
              </w:rPr>
            </w:pPr>
          </w:p>
        </w:tc>
      </w:tr>
      <w:tr w14:paraId="4936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63" w:hRule="atLeast"/>
        </w:trPr>
        <w:tc>
          <w:tcPr>
            <w:tcW w:w="116" w:type="pct"/>
            <w:vMerge w:val="continue"/>
            <w:shd w:val="clear" w:color="auto" w:fill="auto"/>
            <w:tcMar>
              <w:top w:w="15" w:type="dxa"/>
              <w:left w:w="15" w:type="dxa"/>
              <w:right w:w="15" w:type="dxa"/>
            </w:tcMar>
            <w:vAlign w:val="center"/>
          </w:tcPr>
          <w:p w14:paraId="31D58B56">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498A0433">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4FB35C11">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4DC3B655">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4F36DD54">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62F28348">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安装或维修</w:t>
            </w:r>
            <w:r>
              <w:rPr>
                <w:rFonts w:hint="default" w:ascii="Times New Roman" w:hAnsi="Times New Roman" w:cs="Times New Roman" w:eastAsiaTheme="minorEastAsia"/>
                <w:color w:val="auto"/>
                <w:kern w:val="0"/>
                <w:sz w:val="18"/>
                <w:szCs w:val="18"/>
                <w:highlight w:val="none"/>
                <w:lang w:val="en-US" w:eastAsia="zh-CN"/>
              </w:rPr>
              <w:t>10台以上20台以下；</w:t>
            </w:r>
          </w:p>
          <w:p w14:paraId="0F547DF3">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造成燃气设施损害或妨碍燃气设施正常使用，存在安全隐患</w:t>
            </w:r>
          </w:p>
        </w:tc>
        <w:tc>
          <w:tcPr>
            <w:tcW w:w="545" w:type="pct"/>
            <w:gridSpan w:val="2"/>
            <w:shd w:val="clear" w:color="auto" w:fill="auto"/>
            <w:tcMar>
              <w:top w:w="15" w:type="dxa"/>
              <w:left w:w="15" w:type="dxa"/>
              <w:right w:w="15" w:type="dxa"/>
            </w:tcMar>
            <w:vAlign w:val="center"/>
          </w:tcPr>
          <w:p w14:paraId="3A2681B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对单位可以处</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7万</w:t>
            </w:r>
            <w:r>
              <w:rPr>
                <w:rFonts w:hint="default" w:ascii="Times New Roman" w:hAnsi="Times New Roman" w:cs="Times New Roman" w:eastAsiaTheme="minorEastAsia"/>
                <w:color w:val="auto"/>
                <w:kern w:val="0"/>
                <w:sz w:val="18"/>
                <w:szCs w:val="18"/>
                <w:highlight w:val="none"/>
              </w:rPr>
              <w:t>元以下罚款，对个人可以处300元以上700元以下罚款</w:t>
            </w:r>
          </w:p>
        </w:tc>
        <w:tc>
          <w:tcPr>
            <w:tcW w:w="260" w:type="pct"/>
            <w:gridSpan w:val="3"/>
            <w:vMerge w:val="continue"/>
            <w:shd w:val="clear" w:color="auto" w:fill="auto"/>
            <w:tcMar>
              <w:top w:w="15" w:type="dxa"/>
              <w:left w:w="15" w:type="dxa"/>
              <w:right w:w="15" w:type="dxa"/>
            </w:tcMar>
            <w:vAlign w:val="center"/>
          </w:tcPr>
          <w:p w14:paraId="5D86BC48">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38C05412">
            <w:pPr>
              <w:shd w:val="clear"/>
              <w:jc w:val="left"/>
              <w:rPr>
                <w:rFonts w:hint="default" w:ascii="Times New Roman" w:hAnsi="Times New Roman" w:cs="Times New Roman" w:eastAsiaTheme="minorEastAsia"/>
                <w:color w:val="auto"/>
                <w:sz w:val="18"/>
                <w:szCs w:val="18"/>
                <w:highlight w:val="none"/>
              </w:rPr>
            </w:pPr>
          </w:p>
        </w:tc>
      </w:tr>
      <w:tr w14:paraId="52C0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63" w:hRule="atLeast"/>
        </w:trPr>
        <w:tc>
          <w:tcPr>
            <w:tcW w:w="116" w:type="pct"/>
            <w:vMerge w:val="continue"/>
            <w:shd w:val="clear" w:color="auto" w:fill="auto"/>
            <w:tcMar>
              <w:top w:w="15" w:type="dxa"/>
              <w:left w:w="15" w:type="dxa"/>
              <w:right w:w="15" w:type="dxa"/>
            </w:tcMar>
            <w:vAlign w:val="center"/>
          </w:tcPr>
          <w:p w14:paraId="5137A82E">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1490A33E">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0E03F43">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7EEF11DC">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4F01A7F0">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6169B6FE">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安装或维修</w:t>
            </w:r>
            <w:r>
              <w:rPr>
                <w:rFonts w:hint="default" w:ascii="Times New Roman" w:hAnsi="Times New Roman" w:cs="Times New Roman" w:eastAsiaTheme="minorEastAsia"/>
                <w:color w:val="auto"/>
                <w:kern w:val="0"/>
                <w:sz w:val="18"/>
                <w:szCs w:val="18"/>
                <w:highlight w:val="none"/>
                <w:lang w:val="en-US" w:eastAsia="zh-CN"/>
              </w:rPr>
              <w:t>20台以上</w:t>
            </w:r>
          </w:p>
        </w:tc>
        <w:tc>
          <w:tcPr>
            <w:tcW w:w="545" w:type="pct"/>
            <w:gridSpan w:val="2"/>
            <w:shd w:val="clear" w:color="auto" w:fill="auto"/>
            <w:tcMar>
              <w:top w:w="15" w:type="dxa"/>
              <w:left w:w="15" w:type="dxa"/>
              <w:right w:w="15" w:type="dxa"/>
            </w:tcMar>
            <w:vAlign w:val="center"/>
          </w:tcPr>
          <w:p w14:paraId="561F777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对单位可以处</w:t>
            </w:r>
            <w:r>
              <w:rPr>
                <w:rFonts w:hint="default" w:ascii="Times New Roman" w:hAnsi="Times New Roman" w:cs="Times New Roman" w:eastAsiaTheme="minorEastAsia"/>
                <w:color w:val="auto"/>
                <w:kern w:val="0"/>
                <w:sz w:val="18"/>
                <w:szCs w:val="18"/>
                <w:highlight w:val="none"/>
                <w:lang w:val="en-US"/>
              </w:rPr>
              <w:t>7万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元以下罚款，对个人可以处700元以上1000元以下罚款</w:t>
            </w:r>
          </w:p>
        </w:tc>
        <w:tc>
          <w:tcPr>
            <w:tcW w:w="260" w:type="pct"/>
            <w:gridSpan w:val="3"/>
            <w:vMerge w:val="continue"/>
            <w:shd w:val="clear" w:color="auto" w:fill="auto"/>
            <w:tcMar>
              <w:top w:w="15" w:type="dxa"/>
              <w:left w:w="15" w:type="dxa"/>
              <w:right w:w="15" w:type="dxa"/>
            </w:tcMar>
            <w:vAlign w:val="center"/>
          </w:tcPr>
          <w:p w14:paraId="013229BE">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59EA7E0D">
            <w:pPr>
              <w:shd w:val="clear"/>
              <w:jc w:val="left"/>
              <w:rPr>
                <w:rFonts w:hint="default" w:ascii="Times New Roman" w:hAnsi="Times New Roman" w:cs="Times New Roman" w:eastAsiaTheme="minorEastAsia"/>
                <w:color w:val="auto"/>
                <w:sz w:val="18"/>
                <w:szCs w:val="18"/>
                <w:highlight w:val="none"/>
              </w:rPr>
            </w:pPr>
          </w:p>
        </w:tc>
      </w:tr>
      <w:tr w14:paraId="5CAA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830" w:hRule="atLeast"/>
        </w:trPr>
        <w:tc>
          <w:tcPr>
            <w:tcW w:w="116" w:type="pct"/>
            <w:vMerge w:val="restart"/>
            <w:shd w:val="clear" w:color="auto" w:fill="auto"/>
            <w:tcMar>
              <w:top w:w="15" w:type="dxa"/>
              <w:left w:w="15" w:type="dxa"/>
              <w:right w:w="15" w:type="dxa"/>
            </w:tcMar>
            <w:vAlign w:val="center"/>
          </w:tcPr>
          <w:p w14:paraId="758F7396">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137</w:t>
            </w:r>
          </w:p>
        </w:tc>
        <w:tc>
          <w:tcPr>
            <w:tcW w:w="411" w:type="pct"/>
            <w:gridSpan w:val="2"/>
            <w:vMerge w:val="restart"/>
            <w:shd w:val="clear" w:color="auto" w:fill="auto"/>
            <w:tcMar>
              <w:top w:w="15" w:type="dxa"/>
              <w:left w:w="15" w:type="dxa"/>
              <w:right w:w="15" w:type="dxa"/>
            </w:tcMar>
            <w:vAlign w:val="center"/>
          </w:tcPr>
          <w:p w14:paraId="722F57E4">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在燃气设施保护范围内从事危及燃气设施安全的活动</w:t>
            </w:r>
          </w:p>
        </w:tc>
        <w:tc>
          <w:tcPr>
            <w:tcW w:w="1310" w:type="pct"/>
            <w:gridSpan w:val="2"/>
            <w:vMerge w:val="restart"/>
            <w:shd w:val="clear" w:color="auto" w:fill="auto"/>
            <w:tcMar>
              <w:top w:w="15" w:type="dxa"/>
              <w:left w:w="15" w:type="dxa"/>
              <w:right w:w="15" w:type="dxa"/>
            </w:tcMar>
            <w:vAlign w:val="center"/>
          </w:tcPr>
          <w:p w14:paraId="5A5C1B28">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val="en-US" w:eastAsia="zh-CN"/>
              </w:rPr>
              <w:t>1.</w:t>
            </w:r>
            <w:r>
              <w:rPr>
                <w:rFonts w:hint="default" w:ascii="Times New Roman" w:hAnsi="Times New Roman" w:cs="Times New Roman" w:eastAsiaTheme="minorEastAsia"/>
                <w:color w:val="auto"/>
                <w:kern w:val="0"/>
                <w:sz w:val="18"/>
                <w:szCs w:val="18"/>
                <w:highlight w:val="none"/>
              </w:rPr>
              <w:t>《城镇燃气管理条例》第三十三条</w:t>
            </w:r>
            <w:r>
              <w:rPr>
                <w:rFonts w:hint="default" w:ascii="Times New Roman" w:hAnsi="Times New Roman" w:cs="Times New Roman" w:eastAsiaTheme="minorEastAsia"/>
                <w:color w:val="auto"/>
                <w:kern w:val="0"/>
                <w:sz w:val="18"/>
                <w:szCs w:val="18"/>
                <w:highlight w:val="none"/>
                <w:lang w:eastAsia="zh-CN"/>
              </w:rPr>
              <w:t>第二款</w:t>
            </w:r>
            <w:r>
              <w:rPr>
                <w:rFonts w:hint="default" w:ascii="Times New Roman" w:hAnsi="Times New Roman" w:cs="Times New Roman" w:eastAsiaTheme="minorEastAsia"/>
                <w:color w:val="auto"/>
                <w:kern w:val="0"/>
                <w:sz w:val="18"/>
                <w:szCs w:val="18"/>
                <w:highlight w:val="none"/>
              </w:rPr>
              <w:t>：“在燃气设施保护范围内，禁止从事下列危及燃气设施安全的活动：（一）建设占压地下燃气管线的建筑物、构筑物或者其他设施；（二）进行爆破、取土等作业或者动用明火；（三）倾倒、排放腐蚀性物质；（四）放置易燃易爆危险物品或者种植深根植物；（五）其他危及燃气设施安全的活动。</w:t>
            </w:r>
            <w:r>
              <w:rPr>
                <w:rFonts w:hint="default" w:ascii="Times New Roman" w:hAnsi="Times New Roman" w:cs="Times New Roman" w:eastAsiaTheme="minorEastAsia"/>
                <w:color w:val="auto"/>
                <w:kern w:val="0"/>
                <w:sz w:val="18"/>
                <w:szCs w:val="18"/>
                <w:highlight w:val="none"/>
                <w:lang w:eastAsia="zh-CN"/>
              </w:rPr>
              <w:t>”</w:t>
            </w:r>
          </w:p>
          <w:p w14:paraId="244CCAFE">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2.《东莞市燃气管理办法》第二十八条第一款：“在燃气管道设施安全保护范围内，禁止从事下列危及燃气设施安全的活动：（一） 建设占压地下燃气管线的建筑物、构筑物或者其他设施；（二）进行爆破、取土等作业或者动用明火；（三）倾倒、排放腐蚀性物质；（四）放置易燃易爆危险物品或者种植深根植物；（五）其他危及燃气设施安全的活动。”</w:t>
            </w:r>
          </w:p>
        </w:tc>
        <w:tc>
          <w:tcPr>
            <w:tcW w:w="1314" w:type="pct"/>
            <w:gridSpan w:val="2"/>
            <w:vMerge w:val="restart"/>
            <w:shd w:val="clear" w:color="auto" w:fill="auto"/>
            <w:tcMar>
              <w:top w:w="15" w:type="dxa"/>
              <w:left w:w="15" w:type="dxa"/>
              <w:right w:w="15" w:type="dxa"/>
            </w:tcMar>
            <w:vAlign w:val="center"/>
          </w:tcPr>
          <w:p w14:paraId="21D70B1F">
            <w:pPr>
              <w:widowControl/>
              <w:shd w:val="clear"/>
              <w:ind w:firstLine="0" w:firstLineChars="0"/>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1.</w:t>
            </w:r>
            <w:r>
              <w:rPr>
                <w:rFonts w:hint="default" w:ascii="Times New Roman" w:hAnsi="Times New Roman" w:cs="Times New Roman" w:eastAsiaTheme="minorEastAsia"/>
                <w:color w:val="auto"/>
                <w:kern w:val="0"/>
                <w:sz w:val="18"/>
                <w:szCs w:val="18"/>
                <w:highlight w:val="none"/>
              </w:rPr>
              <w:t>《城镇燃气管理条例》第五十条：“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的。</w:t>
            </w:r>
            <w:r>
              <w:rPr>
                <w:rFonts w:hint="default" w:ascii="Times New Roman" w:hAnsi="Times New Roman" w:cs="Times New Roman" w:eastAsiaTheme="minorEastAsia"/>
                <w:color w:val="auto"/>
                <w:kern w:val="0"/>
                <w:sz w:val="18"/>
                <w:szCs w:val="18"/>
                <w:highlight w:val="none"/>
                <w:lang w:val="en"/>
              </w:rPr>
              <w:t>”</w:t>
            </w:r>
            <w:r>
              <w:rPr>
                <w:rFonts w:hint="default" w:ascii="Times New Roman" w:hAnsi="Times New Roman" w:cs="Times New Roman" w:eastAsiaTheme="minorEastAsia"/>
                <w:color w:val="auto"/>
                <w:kern w:val="0"/>
                <w:sz w:val="18"/>
                <w:szCs w:val="18"/>
                <w:highlight w:val="none"/>
                <w:lang w:val="en-US" w:eastAsia="zh-CN"/>
              </w:rPr>
              <w:t>“</w:t>
            </w:r>
            <w:r>
              <w:rPr>
                <w:rFonts w:hint="default" w:ascii="Times New Roman" w:hAnsi="Times New Roman" w:cs="Times New Roman" w:eastAsiaTheme="minorEastAsia"/>
                <w:color w:val="auto"/>
                <w:kern w:val="0"/>
                <w:sz w:val="18"/>
                <w:szCs w:val="18"/>
                <w:highlight w:val="none"/>
              </w:rPr>
              <w:t>违反本条例规定，在燃气设施保护范围内建设占压地下燃气管线的建筑物、构筑物或者其他设施的，依照有关城乡规划的法律、行政法规的规定进行处罚。”</w:t>
            </w:r>
          </w:p>
          <w:p w14:paraId="71D6E48C">
            <w:pPr>
              <w:widowControl/>
              <w:shd w:val="clear"/>
              <w:ind w:firstLine="0" w:firstLineChars="0"/>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2.《东莞市燃气管理办法》第五十四条：“违反本办法第二十八条规定的，由燃气行政主管部门根据《城镇燃气管理条例》第五十条规定进行处罚。”</w:t>
            </w:r>
          </w:p>
        </w:tc>
        <w:tc>
          <w:tcPr>
            <w:tcW w:w="177" w:type="pct"/>
            <w:gridSpan w:val="2"/>
            <w:shd w:val="clear" w:color="auto" w:fill="auto"/>
            <w:tcMar>
              <w:top w:w="15" w:type="dxa"/>
              <w:left w:w="15" w:type="dxa"/>
              <w:right w:w="15" w:type="dxa"/>
            </w:tcMar>
            <w:vAlign w:val="center"/>
          </w:tcPr>
          <w:p w14:paraId="3B59065B">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11756F9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危及燃气设施或妨碍燃气设施正常使用</w:t>
            </w:r>
          </w:p>
        </w:tc>
        <w:tc>
          <w:tcPr>
            <w:tcW w:w="545" w:type="pct"/>
            <w:gridSpan w:val="2"/>
            <w:shd w:val="clear" w:color="auto" w:fill="auto"/>
            <w:tcMar>
              <w:top w:w="15" w:type="dxa"/>
              <w:left w:w="15" w:type="dxa"/>
              <w:right w:w="15" w:type="dxa"/>
            </w:tcMar>
            <w:vAlign w:val="center"/>
          </w:tcPr>
          <w:p w14:paraId="4B4E9A8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对单位处</w:t>
            </w:r>
            <w:r>
              <w:rPr>
                <w:rFonts w:hint="default" w:ascii="Times New Roman" w:hAnsi="Times New Roman" w:cs="Times New Roman" w:eastAsiaTheme="minorEastAsia"/>
                <w:color w:val="auto"/>
                <w:kern w:val="0"/>
                <w:sz w:val="18"/>
                <w:szCs w:val="18"/>
                <w:highlight w:val="none"/>
                <w:lang w:val="en-US"/>
              </w:rPr>
              <w:t>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6.5万</w:t>
            </w:r>
            <w:r>
              <w:rPr>
                <w:rFonts w:hint="default" w:ascii="Times New Roman" w:hAnsi="Times New Roman" w:cs="Times New Roman" w:eastAsiaTheme="minorEastAsia"/>
                <w:color w:val="auto"/>
                <w:kern w:val="0"/>
                <w:sz w:val="18"/>
                <w:szCs w:val="18"/>
                <w:highlight w:val="none"/>
              </w:rPr>
              <w:t>元以下罚款，对个人处5000元以上</w:t>
            </w:r>
            <w:r>
              <w:rPr>
                <w:rFonts w:hint="default" w:ascii="Times New Roman" w:hAnsi="Times New Roman" w:cs="Times New Roman" w:eastAsiaTheme="minorEastAsia"/>
                <w:color w:val="auto"/>
                <w:kern w:val="0"/>
                <w:sz w:val="18"/>
                <w:szCs w:val="18"/>
                <w:highlight w:val="none"/>
                <w:lang w:val="en-US" w:eastAsia="zh-CN"/>
              </w:rPr>
              <w:t>1.85</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w:t>
            </w:r>
          </w:p>
        </w:tc>
        <w:tc>
          <w:tcPr>
            <w:tcW w:w="260" w:type="pct"/>
            <w:gridSpan w:val="3"/>
            <w:vMerge w:val="restart"/>
            <w:shd w:val="clear" w:color="auto" w:fill="auto"/>
            <w:tcMar>
              <w:top w:w="15" w:type="dxa"/>
              <w:left w:w="15" w:type="dxa"/>
              <w:right w:w="15" w:type="dxa"/>
            </w:tcMar>
            <w:vAlign w:val="center"/>
          </w:tcPr>
          <w:p w14:paraId="6BFC45B8">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责令停止违法行为，限期恢复原状或者采取其他补救措施；造成损失的，依法承担赔偿责任；构成犯罪的，依法追究刑事责任</w:t>
            </w:r>
          </w:p>
          <w:p w14:paraId="1E911619">
            <w:pPr>
              <w:widowControl/>
              <w:shd w:val="clear"/>
              <w:jc w:val="left"/>
              <w:textAlignment w:val="center"/>
              <w:rPr>
                <w:rFonts w:hint="default" w:ascii="Times New Roman" w:hAnsi="Times New Roman" w:cs="Times New Roman" w:eastAsiaTheme="minorEastAsia"/>
                <w:color w:val="auto"/>
                <w:sz w:val="18"/>
                <w:szCs w:val="18"/>
                <w:highlight w:val="none"/>
              </w:rPr>
            </w:pPr>
          </w:p>
          <w:p w14:paraId="0E3A3529">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6D1B1153">
            <w:pPr>
              <w:shd w:val="clear"/>
              <w:jc w:val="left"/>
              <w:rPr>
                <w:rFonts w:hint="default" w:ascii="Times New Roman" w:hAnsi="Times New Roman" w:cs="Times New Roman" w:eastAsiaTheme="minorEastAsia"/>
                <w:color w:val="auto"/>
                <w:sz w:val="18"/>
                <w:szCs w:val="18"/>
                <w:highlight w:val="none"/>
                <w:lang w:val="en-US" w:eastAsia="zh-CN"/>
              </w:rPr>
            </w:pPr>
          </w:p>
        </w:tc>
      </w:tr>
      <w:tr w14:paraId="476B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830" w:hRule="atLeast"/>
        </w:trPr>
        <w:tc>
          <w:tcPr>
            <w:tcW w:w="116" w:type="pct"/>
            <w:vMerge w:val="continue"/>
            <w:shd w:val="clear" w:color="auto" w:fill="auto"/>
            <w:tcMar>
              <w:top w:w="15" w:type="dxa"/>
              <w:left w:w="15" w:type="dxa"/>
              <w:right w:w="15" w:type="dxa"/>
            </w:tcMar>
            <w:vAlign w:val="center"/>
          </w:tcPr>
          <w:p w14:paraId="1B3F3893">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613BAFE2">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53BD18D2">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6708A5F9">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4671CE57">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5D9CA10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造成燃气设施损坏，存在安全隐患</w:t>
            </w:r>
          </w:p>
        </w:tc>
        <w:tc>
          <w:tcPr>
            <w:tcW w:w="545" w:type="pct"/>
            <w:gridSpan w:val="2"/>
            <w:shd w:val="clear" w:color="auto" w:fill="auto"/>
            <w:tcMar>
              <w:top w:w="15" w:type="dxa"/>
              <w:left w:w="15" w:type="dxa"/>
              <w:right w:w="15" w:type="dxa"/>
            </w:tcMar>
            <w:vAlign w:val="center"/>
          </w:tcPr>
          <w:p w14:paraId="1BF7DEFF">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对单位处</w:t>
            </w:r>
            <w:r>
              <w:rPr>
                <w:rFonts w:hint="default" w:ascii="Times New Roman" w:hAnsi="Times New Roman" w:cs="Times New Roman" w:eastAsiaTheme="minorEastAsia"/>
                <w:color w:val="auto"/>
                <w:kern w:val="0"/>
                <w:sz w:val="18"/>
                <w:szCs w:val="18"/>
                <w:highlight w:val="none"/>
                <w:lang w:val="en-US"/>
              </w:rPr>
              <w:t>6.5万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8.5万</w:t>
            </w:r>
            <w:r>
              <w:rPr>
                <w:rFonts w:hint="default" w:ascii="Times New Roman" w:hAnsi="Times New Roman" w:cs="Times New Roman" w:eastAsiaTheme="minorEastAsia"/>
                <w:color w:val="auto"/>
                <w:kern w:val="0"/>
                <w:sz w:val="18"/>
                <w:szCs w:val="18"/>
                <w:highlight w:val="none"/>
              </w:rPr>
              <w:t>元以下罚款，对个人处</w:t>
            </w:r>
            <w:r>
              <w:rPr>
                <w:rFonts w:hint="default" w:ascii="Times New Roman" w:hAnsi="Times New Roman" w:cs="Times New Roman" w:eastAsiaTheme="minorEastAsia"/>
                <w:color w:val="auto"/>
                <w:kern w:val="0"/>
                <w:sz w:val="18"/>
                <w:szCs w:val="18"/>
                <w:highlight w:val="none"/>
                <w:lang w:val="en-US" w:eastAsia="zh-CN"/>
              </w:rPr>
              <w:t>1.85</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3.65</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w:t>
            </w:r>
          </w:p>
        </w:tc>
        <w:tc>
          <w:tcPr>
            <w:tcW w:w="260" w:type="pct"/>
            <w:gridSpan w:val="3"/>
            <w:vMerge w:val="continue"/>
            <w:shd w:val="clear" w:color="auto" w:fill="auto"/>
            <w:tcMar>
              <w:top w:w="15" w:type="dxa"/>
              <w:left w:w="15" w:type="dxa"/>
              <w:right w:w="15" w:type="dxa"/>
            </w:tcMar>
            <w:vAlign w:val="center"/>
          </w:tcPr>
          <w:p w14:paraId="7808E35D">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7A302764">
            <w:pPr>
              <w:shd w:val="clear"/>
              <w:jc w:val="left"/>
              <w:rPr>
                <w:rFonts w:hint="default" w:ascii="Times New Roman" w:hAnsi="Times New Roman" w:cs="Times New Roman" w:eastAsiaTheme="minorEastAsia"/>
                <w:color w:val="auto"/>
                <w:sz w:val="18"/>
                <w:szCs w:val="18"/>
                <w:highlight w:val="none"/>
              </w:rPr>
            </w:pPr>
          </w:p>
        </w:tc>
      </w:tr>
      <w:tr w14:paraId="19F9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395" w:hRule="atLeast"/>
        </w:trPr>
        <w:tc>
          <w:tcPr>
            <w:tcW w:w="116" w:type="pct"/>
            <w:vMerge w:val="continue"/>
            <w:shd w:val="clear" w:color="auto" w:fill="auto"/>
            <w:tcMar>
              <w:top w:w="15" w:type="dxa"/>
              <w:left w:w="15" w:type="dxa"/>
              <w:right w:w="15" w:type="dxa"/>
            </w:tcMar>
            <w:vAlign w:val="center"/>
          </w:tcPr>
          <w:p w14:paraId="7B1698B3">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0F758F2A">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6595F21E">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56C9E213">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6C7B4B3E">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0B5AF5A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已造成</w:t>
            </w:r>
            <w:r>
              <w:rPr>
                <w:rFonts w:hint="default" w:ascii="Times New Roman" w:hAnsi="Times New Roman" w:cs="Times New Roman" w:eastAsiaTheme="minorEastAsia"/>
                <w:color w:val="auto"/>
                <w:kern w:val="0"/>
                <w:sz w:val="18"/>
                <w:szCs w:val="18"/>
                <w:highlight w:val="none"/>
              </w:rPr>
              <w:t>安全事故</w:t>
            </w:r>
          </w:p>
        </w:tc>
        <w:tc>
          <w:tcPr>
            <w:tcW w:w="545" w:type="pct"/>
            <w:gridSpan w:val="2"/>
            <w:shd w:val="clear" w:color="auto" w:fill="auto"/>
            <w:tcMar>
              <w:top w:w="15" w:type="dxa"/>
              <w:left w:w="15" w:type="dxa"/>
              <w:right w:w="15" w:type="dxa"/>
            </w:tcMar>
            <w:vAlign w:val="center"/>
          </w:tcPr>
          <w:p w14:paraId="038BD64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对单位处</w:t>
            </w:r>
            <w:r>
              <w:rPr>
                <w:rFonts w:hint="default" w:ascii="Times New Roman" w:hAnsi="Times New Roman" w:cs="Times New Roman" w:eastAsiaTheme="minorEastAsia"/>
                <w:color w:val="auto"/>
                <w:kern w:val="0"/>
                <w:sz w:val="18"/>
                <w:szCs w:val="18"/>
                <w:highlight w:val="none"/>
                <w:lang w:val="en-US"/>
              </w:rPr>
              <w:t>8.5万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元以下罚款，对个人处</w:t>
            </w:r>
            <w:r>
              <w:rPr>
                <w:rFonts w:hint="default" w:ascii="Times New Roman" w:hAnsi="Times New Roman" w:cs="Times New Roman" w:eastAsiaTheme="minorEastAsia"/>
                <w:color w:val="auto"/>
                <w:kern w:val="0"/>
                <w:sz w:val="18"/>
                <w:szCs w:val="18"/>
                <w:highlight w:val="none"/>
                <w:lang w:val="en-US" w:eastAsia="zh-CN"/>
              </w:rPr>
              <w:t>3.65</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5万</w:t>
            </w:r>
            <w:r>
              <w:rPr>
                <w:rFonts w:hint="default" w:ascii="Times New Roman" w:hAnsi="Times New Roman" w:cs="Times New Roman" w:eastAsiaTheme="minorEastAsia"/>
                <w:color w:val="auto"/>
                <w:kern w:val="0"/>
                <w:sz w:val="18"/>
                <w:szCs w:val="18"/>
                <w:highlight w:val="none"/>
              </w:rPr>
              <w:t>元以下罚款</w:t>
            </w:r>
          </w:p>
        </w:tc>
        <w:tc>
          <w:tcPr>
            <w:tcW w:w="260" w:type="pct"/>
            <w:gridSpan w:val="3"/>
            <w:vMerge w:val="continue"/>
            <w:shd w:val="clear" w:color="auto" w:fill="auto"/>
            <w:tcMar>
              <w:top w:w="15" w:type="dxa"/>
              <w:left w:w="15" w:type="dxa"/>
              <w:right w:w="15" w:type="dxa"/>
            </w:tcMar>
            <w:vAlign w:val="center"/>
          </w:tcPr>
          <w:p w14:paraId="786DCD7C">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7329AD19">
            <w:pPr>
              <w:shd w:val="clear"/>
              <w:jc w:val="left"/>
              <w:rPr>
                <w:rFonts w:hint="default" w:ascii="Times New Roman" w:hAnsi="Times New Roman" w:cs="Times New Roman" w:eastAsiaTheme="minorEastAsia"/>
                <w:color w:val="auto"/>
                <w:sz w:val="18"/>
                <w:szCs w:val="18"/>
                <w:highlight w:val="none"/>
              </w:rPr>
            </w:pPr>
          </w:p>
        </w:tc>
      </w:tr>
      <w:tr w14:paraId="06DD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0" w:hRule="atLeast"/>
        </w:trPr>
        <w:tc>
          <w:tcPr>
            <w:tcW w:w="116" w:type="pct"/>
            <w:vMerge w:val="restart"/>
            <w:shd w:val="clear" w:color="auto" w:fill="auto"/>
            <w:tcMar>
              <w:top w:w="15" w:type="dxa"/>
              <w:left w:w="15" w:type="dxa"/>
              <w:right w:w="15" w:type="dxa"/>
            </w:tcMar>
            <w:vAlign w:val="center"/>
          </w:tcPr>
          <w:p w14:paraId="132C37B1">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138</w:t>
            </w:r>
          </w:p>
        </w:tc>
        <w:tc>
          <w:tcPr>
            <w:tcW w:w="411" w:type="pct"/>
            <w:gridSpan w:val="2"/>
            <w:vMerge w:val="restart"/>
            <w:shd w:val="clear" w:color="auto" w:fill="auto"/>
            <w:tcMar>
              <w:top w:w="15" w:type="dxa"/>
              <w:left w:w="15" w:type="dxa"/>
              <w:right w:w="15" w:type="dxa"/>
            </w:tcMar>
            <w:vAlign w:val="center"/>
          </w:tcPr>
          <w:p w14:paraId="25D7CF8B">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燃气经营者未按国家有关工程建设标准和安全生产管理的规定，设置燃气设施防腐、绝缘、防雷、降压、隔离等保护装置和安全警示标志</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3C2914C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镇燃气管理条例》第三十五条：“燃气经营者应当按照国家有关工程建设标准和安全生产管理的规定，设置燃气设施防腐、绝缘、防雷、降压、隔离等保护装置和安全警示标志，定期进行巡查、检测、维修和维护，确保燃气设施的安全运行。”</w:t>
            </w:r>
          </w:p>
        </w:tc>
        <w:tc>
          <w:tcPr>
            <w:tcW w:w="1314" w:type="pct"/>
            <w:gridSpan w:val="2"/>
            <w:vMerge w:val="restart"/>
            <w:shd w:val="clear" w:color="auto" w:fill="auto"/>
            <w:tcMar>
              <w:top w:w="15" w:type="dxa"/>
              <w:left w:w="15" w:type="dxa"/>
              <w:right w:w="15" w:type="dxa"/>
            </w:tcMar>
            <w:vAlign w:val="center"/>
          </w:tcPr>
          <w:p w14:paraId="024A858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镇燃气管理条例》第四十八条：“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177" w:type="pct"/>
            <w:gridSpan w:val="2"/>
            <w:shd w:val="clear" w:color="auto" w:fill="auto"/>
            <w:tcMar>
              <w:top w:w="15" w:type="dxa"/>
              <w:left w:w="15" w:type="dxa"/>
              <w:right w:w="15" w:type="dxa"/>
            </w:tcMar>
            <w:vAlign w:val="center"/>
          </w:tcPr>
          <w:p w14:paraId="0A6BCA9C">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02D2CE3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缺少防腐、绝缘、防雷、降压、隔离等保护装置和安全警示标志5处</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077016A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rPr>
              <w:t>1万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3.7</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w:t>
            </w:r>
          </w:p>
        </w:tc>
        <w:tc>
          <w:tcPr>
            <w:tcW w:w="260" w:type="pct"/>
            <w:gridSpan w:val="3"/>
            <w:vMerge w:val="restart"/>
            <w:shd w:val="clear" w:color="auto" w:fill="auto"/>
            <w:tcMar>
              <w:top w:w="15" w:type="dxa"/>
              <w:left w:w="15" w:type="dxa"/>
              <w:right w:w="15" w:type="dxa"/>
            </w:tcMar>
            <w:vAlign w:val="center"/>
          </w:tcPr>
          <w:p w14:paraId="0F68F09D">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w:t>
            </w:r>
          </w:p>
          <w:p w14:paraId="45BC8400">
            <w:pPr>
              <w:widowControl/>
              <w:shd w:val="clear"/>
              <w:jc w:val="left"/>
              <w:textAlignment w:val="center"/>
              <w:rPr>
                <w:rFonts w:hint="default" w:ascii="Times New Roman" w:hAnsi="Times New Roman" w:cs="Times New Roman" w:eastAsiaTheme="minorEastAsia"/>
                <w:color w:val="auto"/>
                <w:sz w:val="18"/>
                <w:szCs w:val="18"/>
                <w:highlight w:val="none"/>
              </w:rPr>
            </w:pPr>
          </w:p>
          <w:p w14:paraId="07070D52">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5E2C8123">
            <w:pPr>
              <w:shd w:val="clear"/>
              <w:jc w:val="left"/>
              <w:rPr>
                <w:rFonts w:hint="default" w:ascii="Times New Roman" w:hAnsi="Times New Roman" w:cs="Times New Roman" w:eastAsiaTheme="minorEastAsia"/>
                <w:color w:val="auto"/>
                <w:sz w:val="18"/>
                <w:szCs w:val="18"/>
                <w:highlight w:val="none"/>
                <w:lang w:val="en-US" w:eastAsia="zh-CN"/>
              </w:rPr>
            </w:pPr>
          </w:p>
        </w:tc>
      </w:tr>
      <w:tr w14:paraId="69E5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0" w:hRule="atLeast"/>
        </w:trPr>
        <w:tc>
          <w:tcPr>
            <w:tcW w:w="116" w:type="pct"/>
            <w:vMerge w:val="continue"/>
            <w:shd w:val="clear" w:color="auto" w:fill="auto"/>
            <w:tcMar>
              <w:top w:w="15" w:type="dxa"/>
              <w:left w:w="15" w:type="dxa"/>
              <w:right w:w="15" w:type="dxa"/>
            </w:tcMar>
            <w:vAlign w:val="center"/>
          </w:tcPr>
          <w:p w14:paraId="5B068004">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1A568B8B">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593F6A3C">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66E1E22B">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01FDA3C7">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12B8179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缺少防腐、绝缘、防雷、降压、隔离等保护装置和安全警示标志5处</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10处</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5F8C922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3.7</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w:t>
            </w:r>
          </w:p>
        </w:tc>
        <w:tc>
          <w:tcPr>
            <w:tcW w:w="260" w:type="pct"/>
            <w:gridSpan w:val="3"/>
            <w:vMerge w:val="continue"/>
            <w:shd w:val="clear" w:color="auto" w:fill="auto"/>
            <w:tcMar>
              <w:top w:w="15" w:type="dxa"/>
              <w:left w:w="15" w:type="dxa"/>
              <w:right w:w="15" w:type="dxa"/>
            </w:tcMar>
            <w:vAlign w:val="center"/>
          </w:tcPr>
          <w:p w14:paraId="6C394954">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6B2ABA8B">
            <w:pPr>
              <w:shd w:val="clear"/>
              <w:jc w:val="left"/>
              <w:rPr>
                <w:rFonts w:hint="default" w:ascii="Times New Roman" w:hAnsi="Times New Roman" w:cs="Times New Roman" w:eastAsiaTheme="minorEastAsia"/>
                <w:color w:val="auto"/>
                <w:sz w:val="18"/>
                <w:szCs w:val="18"/>
                <w:highlight w:val="none"/>
              </w:rPr>
            </w:pPr>
          </w:p>
        </w:tc>
      </w:tr>
      <w:tr w14:paraId="7A144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0" w:hRule="atLeast"/>
        </w:trPr>
        <w:tc>
          <w:tcPr>
            <w:tcW w:w="116" w:type="pct"/>
            <w:vMerge w:val="continue"/>
            <w:shd w:val="clear" w:color="auto" w:fill="auto"/>
            <w:tcMar>
              <w:top w:w="15" w:type="dxa"/>
              <w:left w:w="15" w:type="dxa"/>
              <w:right w:w="15" w:type="dxa"/>
            </w:tcMar>
            <w:vAlign w:val="center"/>
          </w:tcPr>
          <w:p w14:paraId="3A914800">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6F517BA2">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3564B77E">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6CCE0FF3">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690CABA4">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2D84EE2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缺少防腐、绝缘、防雷、降压、隔离等保护装置和安全警示标志10处</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6ED7133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7.3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元以下罚款</w:t>
            </w:r>
          </w:p>
        </w:tc>
        <w:tc>
          <w:tcPr>
            <w:tcW w:w="260" w:type="pct"/>
            <w:gridSpan w:val="3"/>
            <w:vMerge w:val="continue"/>
            <w:shd w:val="clear" w:color="auto" w:fill="auto"/>
            <w:tcMar>
              <w:top w:w="15" w:type="dxa"/>
              <w:left w:w="15" w:type="dxa"/>
              <w:right w:w="15" w:type="dxa"/>
            </w:tcMar>
            <w:vAlign w:val="center"/>
          </w:tcPr>
          <w:p w14:paraId="77758418">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3856613C">
            <w:pPr>
              <w:shd w:val="clear"/>
              <w:jc w:val="left"/>
              <w:rPr>
                <w:rFonts w:hint="default" w:ascii="Times New Roman" w:hAnsi="Times New Roman" w:cs="Times New Roman" w:eastAsiaTheme="minorEastAsia"/>
                <w:color w:val="auto"/>
                <w:sz w:val="18"/>
                <w:szCs w:val="18"/>
                <w:highlight w:val="none"/>
              </w:rPr>
            </w:pPr>
          </w:p>
        </w:tc>
      </w:tr>
      <w:tr w14:paraId="78A5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900" w:hRule="atLeast"/>
        </w:trPr>
        <w:tc>
          <w:tcPr>
            <w:tcW w:w="116" w:type="pct"/>
            <w:vMerge w:val="restart"/>
            <w:shd w:val="clear" w:color="auto" w:fill="auto"/>
            <w:tcMar>
              <w:top w:w="15" w:type="dxa"/>
              <w:left w:w="15" w:type="dxa"/>
              <w:right w:w="15" w:type="dxa"/>
            </w:tcMar>
            <w:vAlign w:val="center"/>
          </w:tcPr>
          <w:p w14:paraId="1350DBC1">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139</w:t>
            </w:r>
          </w:p>
        </w:tc>
        <w:tc>
          <w:tcPr>
            <w:tcW w:w="411" w:type="pct"/>
            <w:gridSpan w:val="2"/>
            <w:vMerge w:val="restart"/>
            <w:shd w:val="clear" w:color="auto" w:fill="auto"/>
            <w:tcMar>
              <w:top w:w="15" w:type="dxa"/>
              <w:left w:w="15" w:type="dxa"/>
              <w:right w:w="15" w:type="dxa"/>
            </w:tcMar>
            <w:vAlign w:val="center"/>
          </w:tcPr>
          <w:p w14:paraId="7F5C4277">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燃气经营者未定期进行巡查、检测、维修和维护</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13F8EB5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镇燃气管理条例》第三十五条：“燃气经营者应当按照国家有关工程建设标准和安全生产管理的规定，设置燃气设施防腐、绝缘、防雷、降压、隔离等保护装置和安全警示标志，定期进行巡查、检测、维修和维护，确保燃气设施的安全运行。”</w:t>
            </w:r>
          </w:p>
        </w:tc>
        <w:tc>
          <w:tcPr>
            <w:tcW w:w="1314" w:type="pct"/>
            <w:gridSpan w:val="2"/>
            <w:vMerge w:val="restart"/>
            <w:shd w:val="clear" w:color="auto" w:fill="auto"/>
            <w:tcMar>
              <w:top w:w="15" w:type="dxa"/>
              <w:left w:w="15" w:type="dxa"/>
              <w:right w:w="15" w:type="dxa"/>
            </w:tcMar>
            <w:vAlign w:val="center"/>
          </w:tcPr>
          <w:p w14:paraId="5CB7A11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镇燃气管理条例》第四十八条：“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177" w:type="pct"/>
            <w:gridSpan w:val="2"/>
            <w:shd w:val="clear" w:color="auto" w:fill="auto"/>
            <w:tcMar>
              <w:top w:w="15" w:type="dxa"/>
              <w:left w:w="15" w:type="dxa"/>
              <w:right w:w="15" w:type="dxa"/>
            </w:tcMar>
            <w:vAlign w:val="center"/>
          </w:tcPr>
          <w:p w14:paraId="666AFAAF">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733DF8BB">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定期巡查、检测、维修和维护量在80%以上</w:t>
            </w:r>
            <w:r>
              <w:rPr>
                <w:rFonts w:hint="default" w:ascii="Times New Roman" w:hAnsi="Times New Roman" w:cs="Times New Roman" w:eastAsiaTheme="minorEastAsia"/>
                <w:color w:val="auto"/>
                <w:kern w:val="0"/>
                <w:sz w:val="18"/>
                <w:szCs w:val="18"/>
                <w:highlight w:val="none"/>
                <w:lang w:val="en-US" w:eastAsia="zh-CN"/>
              </w:rPr>
              <w:t>;</w:t>
            </w:r>
          </w:p>
          <w:p w14:paraId="05A3D13F">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超过规定时间5天</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56AC75AA">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rPr>
              <w:t>1万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3.7</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w:t>
            </w:r>
          </w:p>
        </w:tc>
        <w:tc>
          <w:tcPr>
            <w:tcW w:w="260" w:type="pct"/>
            <w:gridSpan w:val="3"/>
            <w:vMerge w:val="restart"/>
            <w:shd w:val="clear" w:color="auto" w:fill="auto"/>
            <w:tcMar>
              <w:top w:w="15" w:type="dxa"/>
              <w:left w:w="15" w:type="dxa"/>
              <w:right w:w="15" w:type="dxa"/>
            </w:tcMar>
            <w:vAlign w:val="center"/>
          </w:tcPr>
          <w:p w14:paraId="19F7B919">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w:t>
            </w:r>
          </w:p>
          <w:p w14:paraId="024628B7">
            <w:pPr>
              <w:widowControl/>
              <w:shd w:val="clear"/>
              <w:jc w:val="left"/>
              <w:textAlignment w:val="center"/>
              <w:rPr>
                <w:rFonts w:hint="default" w:ascii="Times New Roman" w:hAnsi="Times New Roman" w:cs="Times New Roman" w:eastAsiaTheme="minorEastAsia"/>
                <w:color w:val="auto"/>
                <w:sz w:val="18"/>
                <w:szCs w:val="18"/>
                <w:highlight w:val="none"/>
              </w:rPr>
            </w:pPr>
          </w:p>
          <w:p w14:paraId="587C70C7">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6A0361E4">
            <w:pPr>
              <w:shd w:val="clear"/>
              <w:jc w:val="left"/>
              <w:rPr>
                <w:rFonts w:hint="default" w:ascii="Times New Roman" w:hAnsi="Times New Roman" w:cs="Times New Roman" w:eastAsiaTheme="minorEastAsia"/>
                <w:color w:val="auto"/>
                <w:sz w:val="18"/>
                <w:szCs w:val="18"/>
                <w:highlight w:val="none"/>
                <w:lang w:val="en-US" w:eastAsia="zh-CN"/>
              </w:rPr>
            </w:pPr>
          </w:p>
        </w:tc>
      </w:tr>
      <w:tr w14:paraId="3926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900" w:hRule="atLeast"/>
        </w:trPr>
        <w:tc>
          <w:tcPr>
            <w:tcW w:w="116" w:type="pct"/>
            <w:vMerge w:val="continue"/>
            <w:shd w:val="clear" w:color="auto" w:fill="auto"/>
            <w:tcMar>
              <w:top w:w="15" w:type="dxa"/>
              <w:left w:w="15" w:type="dxa"/>
              <w:right w:w="15" w:type="dxa"/>
            </w:tcMar>
            <w:vAlign w:val="center"/>
          </w:tcPr>
          <w:p w14:paraId="60C87BEF">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42058D02">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2B904B71">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139E0334">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28B2AAAC">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46406CD2">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定期巡查、检测、维修和维护量60%以上80%以下；</w:t>
            </w:r>
          </w:p>
          <w:p w14:paraId="186AA8DA">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超过规定时间5天</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10天</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08F91F7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3.7</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w:t>
            </w:r>
          </w:p>
        </w:tc>
        <w:tc>
          <w:tcPr>
            <w:tcW w:w="260" w:type="pct"/>
            <w:gridSpan w:val="3"/>
            <w:vMerge w:val="continue"/>
            <w:shd w:val="clear" w:color="auto" w:fill="auto"/>
            <w:tcMar>
              <w:top w:w="15" w:type="dxa"/>
              <w:left w:w="15" w:type="dxa"/>
              <w:right w:w="15" w:type="dxa"/>
            </w:tcMar>
            <w:vAlign w:val="center"/>
          </w:tcPr>
          <w:p w14:paraId="3FA6B6E9">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391E75DD">
            <w:pPr>
              <w:shd w:val="clear"/>
              <w:jc w:val="left"/>
              <w:rPr>
                <w:rFonts w:hint="default" w:ascii="Times New Roman" w:hAnsi="Times New Roman" w:cs="Times New Roman" w:eastAsiaTheme="minorEastAsia"/>
                <w:color w:val="auto"/>
                <w:sz w:val="18"/>
                <w:szCs w:val="18"/>
                <w:highlight w:val="none"/>
              </w:rPr>
            </w:pPr>
          </w:p>
        </w:tc>
      </w:tr>
      <w:tr w14:paraId="3BCA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900" w:hRule="atLeast"/>
        </w:trPr>
        <w:tc>
          <w:tcPr>
            <w:tcW w:w="116" w:type="pct"/>
            <w:vMerge w:val="continue"/>
            <w:shd w:val="clear" w:color="auto" w:fill="auto"/>
            <w:tcMar>
              <w:top w:w="15" w:type="dxa"/>
              <w:left w:w="15" w:type="dxa"/>
              <w:right w:w="15" w:type="dxa"/>
            </w:tcMar>
            <w:vAlign w:val="center"/>
          </w:tcPr>
          <w:p w14:paraId="6C80F5DE">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2424FCB4">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5059730B">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18179B59">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672941BB">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2DD72DF8">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定期巡查、检测、维修和维护量在60%以下；</w:t>
            </w:r>
          </w:p>
          <w:p w14:paraId="4F7C2203">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超过规定时间10天</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3985BE9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7.3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元以下罚款</w:t>
            </w:r>
          </w:p>
        </w:tc>
        <w:tc>
          <w:tcPr>
            <w:tcW w:w="260" w:type="pct"/>
            <w:gridSpan w:val="3"/>
            <w:vMerge w:val="continue"/>
            <w:shd w:val="clear" w:color="auto" w:fill="auto"/>
            <w:tcMar>
              <w:top w:w="15" w:type="dxa"/>
              <w:left w:w="15" w:type="dxa"/>
              <w:right w:w="15" w:type="dxa"/>
            </w:tcMar>
            <w:vAlign w:val="center"/>
          </w:tcPr>
          <w:p w14:paraId="5FA433CF">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24B82F28">
            <w:pPr>
              <w:shd w:val="clear"/>
              <w:jc w:val="left"/>
              <w:rPr>
                <w:rFonts w:hint="default" w:ascii="Times New Roman" w:hAnsi="Times New Roman" w:cs="Times New Roman" w:eastAsiaTheme="minorEastAsia"/>
                <w:color w:val="auto"/>
                <w:sz w:val="18"/>
                <w:szCs w:val="18"/>
                <w:highlight w:val="none"/>
              </w:rPr>
            </w:pPr>
          </w:p>
        </w:tc>
      </w:tr>
      <w:tr w14:paraId="5F29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945" w:hRule="atLeast"/>
        </w:trPr>
        <w:tc>
          <w:tcPr>
            <w:tcW w:w="116" w:type="pct"/>
            <w:vMerge w:val="restart"/>
            <w:shd w:val="clear" w:color="auto" w:fill="auto"/>
            <w:tcMar>
              <w:top w:w="15" w:type="dxa"/>
              <w:left w:w="15" w:type="dxa"/>
              <w:right w:w="15" w:type="dxa"/>
            </w:tcMar>
            <w:vAlign w:val="center"/>
          </w:tcPr>
          <w:p w14:paraId="535E9EAF">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140</w:t>
            </w:r>
          </w:p>
        </w:tc>
        <w:tc>
          <w:tcPr>
            <w:tcW w:w="411" w:type="pct"/>
            <w:gridSpan w:val="2"/>
            <w:vMerge w:val="restart"/>
            <w:shd w:val="clear" w:color="auto" w:fill="auto"/>
            <w:tcMar>
              <w:top w:w="15" w:type="dxa"/>
              <w:left w:w="15" w:type="dxa"/>
              <w:right w:w="15" w:type="dxa"/>
            </w:tcMar>
            <w:vAlign w:val="center"/>
          </w:tcPr>
          <w:p w14:paraId="339E2C82">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燃气经营者未采取措施及时消除燃气安全事故隐患</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2839664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《城镇燃气管理条例》第四十一条第一款：“燃气经营者应当建立健全燃气安全评估和风险管理体系，发现燃气安全事故隐患的，应当及时采取措施消除隐患。”</w:t>
            </w:r>
          </w:p>
        </w:tc>
        <w:tc>
          <w:tcPr>
            <w:tcW w:w="1314" w:type="pct"/>
            <w:gridSpan w:val="2"/>
            <w:vMerge w:val="restart"/>
            <w:shd w:val="clear" w:color="auto" w:fill="auto"/>
            <w:tcMar>
              <w:top w:w="15" w:type="dxa"/>
              <w:left w:w="15" w:type="dxa"/>
              <w:right w:w="15" w:type="dxa"/>
            </w:tcMar>
            <w:vAlign w:val="center"/>
          </w:tcPr>
          <w:p w14:paraId="7421804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镇燃气管理条例》第四十八条：“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177" w:type="pct"/>
            <w:gridSpan w:val="2"/>
            <w:shd w:val="clear" w:color="auto" w:fill="auto"/>
            <w:tcMar>
              <w:top w:w="15" w:type="dxa"/>
              <w:left w:w="15" w:type="dxa"/>
              <w:right w:w="15" w:type="dxa"/>
            </w:tcMar>
            <w:vAlign w:val="center"/>
          </w:tcPr>
          <w:p w14:paraId="2B2B2F28">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0E04751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尚未危及燃气设施或妨碍燃气设施正常使用</w:t>
            </w:r>
          </w:p>
        </w:tc>
        <w:tc>
          <w:tcPr>
            <w:tcW w:w="545" w:type="pct"/>
            <w:gridSpan w:val="2"/>
            <w:shd w:val="clear" w:color="auto" w:fill="auto"/>
            <w:tcMar>
              <w:top w:w="15" w:type="dxa"/>
              <w:left w:w="15" w:type="dxa"/>
              <w:right w:w="15" w:type="dxa"/>
            </w:tcMar>
            <w:vAlign w:val="center"/>
          </w:tcPr>
          <w:p w14:paraId="19E1DF5A">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rPr>
              <w:t>1万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3.7</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w:t>
            </w:r>
          </w:p>
        </w:tc>
        <w:tc>
          <w:tcPr>
            <w:tcW w:w="260" w:type="pct"/>
            <w:gridSpan w:val="3"/>
            <w:vMerge w:val="restart"/>
            <w:shd w:val="clear" w:color="auto" w:fill="auto"/>
            <w:tcMar>
              <w:top w:w="15" w:type="dxa"/>
              <w:left w:w="15" w:type="dxa"/>
              <w:right w:w="15" w:type="dxa"/>
            </w:tcMar>
            <w:vAlign w:val="center"/>
          </w:tcPr>
          <w:p w14:paraId="4E909939">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w:t>
            </w:r>
          </w:p>
          <w:p w14:paraId="6C427876">
            <w:pPr>
              <w:widowControl/>
              <w:shd w:val="clear"/>
              <w:jc w:val="left"/>
              <w:textAlignment w:val="center"/>
              <w:rPr>
                <w:rFonts w:hint="default" w:ascii="Times New Roman" w:hAnsi="Times New Roman" w:cs="Times New Roman" w:eastAsiaTheme="minorEastAsia"/>
                <w:color w:val="auto"/>
                <w:sz w:val="18"/>
                <w:szCs w:val="18"/>
                <w:highlight w:val="none"/>
              </w:rPr>
            </w:pPr>
          </w:p>
          <w:p w14:paraId="772A94F0">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220778D8">
            <w:pPr>
              <w:shd w:val="clear"/>
              <w:jc w:val="left"/>
              <w:rPr>
                <w:rFonts w:hint="default" w:ascii="Times New Roman" w:hAnsi="Times New Roman" w:cs="Times New Roman" w:eastAsiaTheme="minorEastAsia"/>
                <w:color w:val="auto"/>
                <w:sz w:val="18"/>
                <w:szCs w:val="18"/>
                <w:highlight w:val="none"/>
                <w:lang w:val="en-US" w:eastAsia="zh-CN"/>
              </w:rPr>
            </w:pPr>
          </w:p>
        </w:tc>
      </w:tr>
      <w:tr w14:paraId="2365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945" w:hRule="atLeast"/>
        </w:trPr>
        <w:tc>
          <w:tcPr>
            <w:tcW w:w="116" w:type="pct"/>
            <w:vMerge w:val="continue"/>
            <w:shd w:val="clear" w:color="auto" w:fill="auto"/>
            <w:tcMar>
              <w:top w:w="15" w:type="dxa"/>
              <w:left w:w="15" w:type="dxa"/>
              <w:right w:w="15" w:type="dxa"/>
            </w:tcMar>
            <w:vAlign w:val="center"/>
          </w:tcPr>
          <w:p w14:paraId="1CF59A45">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127EFF0D">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29DC6CFD">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2A171139">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19718AD4">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328D69B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造成燃气设施损害或妨碍燃气设施正常使用，存在安全隐患</w:t>
            </w:r>
          </w:p>
        </w:tc>
        <w:tc>
          <w:tcPr>
            <w:tcW w:w="545" w:type="pct"/>
            <w:gridSpan w:val="2"/>
            <w:shd w:val="clear" w:color="auto" w:fill="auto"/>
            <w:tcMar>
              <w:top w:w="15" w:type="dxa"/>
              <w:left w:w="15" w:type="dxa"/>
              <w:right w:w="15" w:type="dxa"/>
            </w:tcMar>
            <w:vAlign w:val="center"/>
          </w:tcPr>
          <w:p w14:paraId="33568D8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3.7</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w:t>
            </w:r>
          </w:p>
        </w:tc>
        <w:tc>
          <w:tcPr>
            <w:tcW w:w="260" w:type="pct"/>
            <w:gridSpan w:val="3"/>
            <w:vMerge w:val="continue"/>
            <w:shd w:val="clear" w:color="auto" w:fill="auto"/>
            <w:tcMar>
              <w:top w:w="15" w:type="dxa"/>
              <w:left w:w="15" w:type="dxa"/>
              <w:right w:w="15" w:type="dxa"/>
            </w:tcMar>
            <w:vAlign w:val="center"/>
          </w:tcPr>
          <w:p w14:paraId="150BEDCE">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15953BC3">
            <w:pPr>
              <w:shd w:val="clear"/>
              <w:jc w:val="left"/>
              <w:rPr>
                <w:rFonts w:hint="default" w:ascii="Times New Roman" w:hAnsi="Times New Roman" w:cs="Times New Roman" w:eastAsiaTheme="minorEastAsia"/>
                <w:color w:val="auto"/>
                <w:sz w:val="18"/>
                <w:szCs w:val="18"/>
                <w:highlight w:val="none"/>
              </w:rPr>
            </w:pPr>
          </w:p>
        </w:tc>
      </w:tr>
      <w:tr w14:paraId="1EB7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945" w:hRule="atLeast"/>
        </w:trPr>
        <w:tc>
          <w:tcPr>
            <w:tcW w:w="116" w:type="pct"/>
            <w:vMerge w:val="continue"/>
            <w:shd w:val="clear" w:color="auto" w:fill="auto"/>
            <w:tcMar>
              <w:top w:w="15" w:type="dxa"/>
              <w:left w:w="15" w:type="dxa"/>
              <w:right w:w="15" w:type="dxa"/>
            </w:tcMar>
            <w:vAlign w:val="center"/>
          </w:tcPr>
          <w:p w14:paraId="7694782E">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60276C19">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D901961">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2D44BAF6">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4BC608F6">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436E4B7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val="en-US" w:eastAsia="zh-CN"/>
              </w:rPr>
              <w:t>已造成安全事故</w:t>
            </w:r>
          </w:p>
        </w:tc>
        <w:tc>
          <w:tcPr>
            <w:tcW w:w="545" w:type="pct"/>
            <w:gridSpan w:val="2"/>
            <w:shd w:val="clear" w:color="auto" w:fill="auto"/>
            <w:tcMar>
              <w:top w:w="15" w:type="dxa"/>
              <w:left w:w="15" w:type="dxa"/>
              <w:right w:w="15" w:type="dxa"/>
            </w:tcMar>
            <w:vAlign w:val="center"/>
          </w:tcPr>
          <w:p w14:paraId="2BBACB4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7.3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元以下罚款</w:t>
            </w:r>
          </w:p>
        </w:tc>
        <w:tc>
          <w:tcPr>
            <w:tcW w:w="260" w:type="pct"/>
            <w:gridSpan w:val="3"/>
            <w:vMerge w:val="continue"/>
            <w:shd w:val="clear" w:color="auto" w:fill="auto"/>
            <w:tcMar>
              <w:top w:w="15" w:type="dxa"/>
              <w:left w:w="15" w:type="dxa"/>
              <w:right w:w="15" w:type="dxa"/>
            </w:tcMar>
            <w:vAlign w:val="center"/>
          </w:tcPr>
          <w:p w14:paraId="41465AB1">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42769FB8">
            <w:pPr>
              <w:shd w:val="clear"/>
              <w:jc w:val="left"/>
              <w:rPr>
                <w:rFonts w:hint="default" w:ascii="Times New Roman" w:hAnsi="Times New Roman" w:cs="Times New Roman" w:eastAsiaTheme="minorEastAsia"/>
                <w:color w:val="auto"/>
                <w:sz w:val="18"/>
                <w:szCs w:val="18"/>
                <w:highlight w:val="none"/>
              </w:rPr>
            </w:pPr>
          </w:p>
        </w:tc>
      </w:tr>
      <w:tr w14:paraId="31F9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485" w:hRule="atLeast"/>
        </w:trPr>
        <w:tc>
          <w:tcPr>
            <w:tcW w:w="116" w:type="pct"/>
            <w:vMerge w:val="restart"/>
            <w:shd w:val="clear" w:color="auto" w:fill="auto"/>
            <w:tcMar>
              <w:top w:w="15" w:type="dxa"/>
              <w:left w:w="15" w:type="dxa"/>
              <w:right w:w="15" w:type="dxa"/>
            </w:tcMar>
            <w:vAlign w:val="center"/>
          </w:tcPr>
          <w:p w14:paraId="37A5FD81">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141</w:t>
            </w:r>
          </w:p>
        </w:tc>
        <w:tc>
          <w:tcPr>
            <w:tcW w:w="411" w:type="pct"/>
            <w:gridSpan w:val="2"/>
            <w:vMerge w:val="restart"/>
            <w:shd w:val="clear" w:color="auto" w:fill="auto"/>
            <w:tcMar>
              <w:top w:w="15" w:type="dxa"/>
              <w:left w:w="15" w:type="dxa"/>
              <w:right w:w="15" w:type="dxa"/>
            </w:tcMar>
            <w:vAlign w:val="center"/>
          </w:tcPr>
          <w:p w14:paraId="7BD7682C">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侵占、毁损、擅自拆除</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移动燃气设施或者擅自改动市政燃气设施的</w:t>
            </w:r>
          </w:p>
        </w:tc>
        <w:tc>
          <w:tcPr>
            <w:tcW w:w="1310" w:type="pct"/>
            <w:gridSpan w:val="2"/>
            <w:vMerge w:val="restart"/>
            <w:shd w:val="clear" w:color="auto" w:fill="auto"/>
            <w:tcMar>
              <w:top w:w="15" w:type="dxa"/>
              <w:left w:w="15" w:type="dxa"/>
              <w:right w:w="15" w:type="dxa"/>
            </w:tcMar>
            <w:vAlign w:val="center"/>
          </w:tcPr>
          <w:p w14:paraId="6FAE39E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 xml:space="preserve">《城镇燃气管理条例》第三十六条第一款：“任何单位和个人不得侵占、毁损、擅自拆除或者移动燃气设施，不得毁损、覆盖、涂改、擅自拆除或者移动燃气设施安全警示标志。” </w:t>
            </w:r>
          </w:p>
        </w:tc>
        <w:tc>
          <w:tcPr>
            <w:tcW w:w="1314" w:type="pct"/>
            <w:gridSpan w:val="2"/>
            <w:vMerge w:val="restart"/>
            <w:shd w:val="clear" w:color="auto" w:fill="auto"/>
            <w:tcMar>
              <w:top w:w="15" w:type="dxa"/>
              <w:left w:w="15" w:type="dxa"/>
              <w:right w:w="15" w:type="dxa"/>
            </w:tcMar>
            <w:vAlign w:val="center"/>
          </w:tcPr>
          <w:p w14:paraId="33BC5086">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镇燃气管理条例》第五十一条第一款：“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c>
          <w:tcPr>
            <w:tcW w:w="177" w:type="pct"/>
            <w:gridSpan w:val="2"/>
            <w:shd w:val="clear" w:color="auto" w:fill="auto"/>
            <w:tcMar>
              <w:top w:w="15" w:type="dxa"/>
              <w:left w:w="15" w:type="dxa"/>
              <w:right w:w="15" w:type="dxa"/>
            </w:tcMar>
            <w:vAlign w:val="center"/>
          </w:tcPr>
          <w:p w14:paraId="434E7F29">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轻微</w:t>
            </w: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0ABCBE8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侵占、毁损、擅自拆除、移动燃气设施或者擅自改动市政燃气设施1处</w:t>
            </w:r>
          </w:p>
        </w:tc>
        <w:tc>
          <w:tcPr>
            <w:tcW w:w="545" w:type="pct"/>
            <w:gridSpan w:val="2"/>
            <w:shd w:val="clear" w:color="auto" w:fill="auto"/>
            <w:tcMar>
              <w:top w:w="15" w:type="dxa"/>
              <w:left w:w="15" w:type="dxa"/>
              <w:right w:w="15" w:type="dxa"/>
            </w:tcMar>
            <w:vAlign w:val="center"/>
          </w:tcPr>
          <w:p w14:paraId="29862616">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对单位处</w:t>
            </w:r>
            <w:r>
              <w:rPr>
                <w:rFonts w:hint="default" w:ascii="Times New Roman" w:hAnsi="Times New Roman" w:cs="Times New Roman" w:eastAsiaTheme="minorEastAsia"/>
                <w:color w:val="auto"/>
                <w:kern w:val="0"/>
                <w:sz w:val="18"/>
                <w:szCs w:val="18"/>
                <w:highlight w:val="none"/>
                <w:lang w:val="en-US"/>
              </w:rPr>
              <w:t>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6.5万</w:t>
            </w:r>
            <w:r>
              <w:rPr>
                <w:rFonts w:hint="default" w:ascii="Times New Roman" w:hAnsi="Times New Roman" w:cs="Times New Roman" w:eastAsiaTheme="minorEastAsia"/>
                <w:color w:val="auto"/>
                <w:kern w:val="0"/>
                <w:sz w:val="18"/>
                <w:szCs w:val="18"/>
                <w:highlight w:val="none"/>
              </w:rPr>
              <w:t>元以下罚款，对个人处5000元以上</w:t>
            </w:r>
            <w:r>
              <w:rPr>
                <w:rFonts w:hint="default" w:ascii="Times New Roman" w:hAnsi="Times New Roman" w:cs="Times New Roman" w:eastAsiaTheme="minorEastAsia"/>
                <w:color w:val="auto"/>
                <w:kern w:val="0"/>
                <w:sz w:val="18"/>
                <w:szCs w:val="18"/>
                <w:highlight w:val="none"/>
                <w:lang w:val="en-US" w:eastAsia="zh-CN"/>
              </w:rPr>
              <w:t>1.85</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w:t>
            </w:r>
          </w:p>
        </w:tc>
        <w:tc>
          <w:tcPr>
            <w:tcW w:w="260" w:type="pct"/>
            <w:gridSpan w:val="3"/>
            <w:vMerge w:val="restart"/>
            <w:shd w:val="clear" w:color="auto" w:fill="auto"/>
            <w:tcMar>
              <w:top w:w="15" w:type="dxa"/>
              <w:left w:w="15" w:type="dxa"/>
              <w:right w:w="15" w:type="dxa"/>
            </w:tcMar>
            <w:vAlign w:val="center"/>
          </w:tcPr>
          <w:p w14:paraId="6A94C112">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责令限期改正，恢复原状或者采取其他补救措施；造成损失的，依法承担赔偿责任；构成犯罪的，依法追究刑事责任</w:t>
            </w:r>
          </w:p>
          <w:p w14:paraId="081A9AFE">
            <w:pPr>
              <w:widowControl/>
              <w:shd w:val="clear"/>
              <w:jc w:val="left"/>
              <w:textAlignment w:val="center"/>
              <w:rPr>
                <w:rFonts w:hint="default" w:ascii="Times New Roman" w:hAnsi="Times New Roman" w:cs="Times New Roman" w:eastAsiaTheme="minorEastAsia"/>
                <w:color w:val="auto"/>
                <w:sz w:val="18"/>
                <w:szCs w:val="18"/>
                <w:highlight w:val="none"/>
              </w:rPr>
            </w:pPr>
          </w:p>
          <w:p w14:paraId="6301C9DF">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4AE5B828">
            <w:pPr>
              <w:shd w:val="clear"/>
              <w:jc w:val="left"/>
              <w:rPr>
                <w:rFonts w:hint="default" w:ascii="Times New Roman" w:hAnsi="Times New Roman" w:cs="Times New Roman" w:eastAsiaTheme="minorEastAsia"/>
                <w:color w:val="auto"/>
                <w:sz w:val="18"/>
                <w:szCs w:val="18"/>
                <w:highlight w:val="none"/>
                <w:lang w:val="en-US" w:eastAsia="zh-CN"/>
              </w:rPr>
            </w:pPr>
          </w:p>
        </w:tc>
      </w:tr>
      <w:tr w14:paraId="6373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485" w:hRule="atLeast"/>
        </w:trPr>
        <w:tc>
          <w:tcPr>
            <w:tcW w:w="116" w:type="pct"/>
            <w:vMerge w:val="continue"/>
            <w:shd w:val="clear" w:color="auto" w:fill="auto"/>
            <w:tcMar>
              <w:top w:w="15" w:type="dxa"/>
              <w:left w:w="15" w:type="dxa"/>
              <w:right w:w="15" w:type="dxa"/>
            </w:tcMar>
            <w:vAlign w:val="center"/>
          </w:tcPr>
          <w:p w14:paraId="199C7749">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051A294E">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3151379E">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14BF672D">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333A52EC">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4979485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侵占、毁损、擅自拆除、移动燃气设施或者擅自改动市政燃气设施2处</w:t>
            </w:r>
          </w:p>
        </w:tc>
        <w:tc>
          <w:tcPr>
            <w:tcW w:w="545" w:type="pct"/>
            <w:gridSpan w:val="2"/>
            <w:shd w:val="clear" w:color="auto" w:fill="auto"/>
            <w:tcMar>
              <w:top w:w="15" w:type="dxa"/>
              <w:left w:w="15" w:type="dxa"/>
              <w:right w:w="15" w:type="dxa"/>
            </w:tcMar>
            <w:vAlign w:val="center"/>
          </w:tcPr>
          <w:p w14:paraId="741D7687">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对单位处</w:t>
            </w:r>
            <w:r>
              <w:rPr>
                <w:rFonts w:hint="default" w:ascii="Times New Roman" w:hAnsi="Times New Roman" w:cs="Times New Roman" w:eastAsiaTheme="minorEastAsia"/>
                <w:color w:val="auto"/>
                <w:kern w:val="0"/>
                <w:sz w:val="18"/>
                <w:szCs w:val="18"/>
                <w:highlight w:val="none"/>
                <w:lang w:val="en-US"/>
              </w:rPr>
              <w:t>6.5万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8.5万</w:t>
            </w:r>
            <w:r>
              <w:rPr>
                <w:rFonts w:hint="default" w:ascii="Times New Roman" w:hAnsi="Times New Roman" w:cs="Times New Roman" w:eastAsiaTheme="minorEastAsia"/>
                <w:color w:val="auto"/>
                <w:kern w:val="0"/>
                <w:sz w:val="18"/>
                <w:szCs w:val="18"/>
                <w:highlight w:val="none"/>
              </w:rPr>
              <w:t>元以下罚款，对个人处</w:t>
            </w:r>
            <w:r>
              <w:rPr>
                <w:rFonts w:hint="default" w:ascii="Times New Roman" w:hAnsi="Times New Roman" w:cs="Times New Roman" w:eastAsiaTheme="minorEastAsia"/>
                <w:color w:val="auto"/>
                <w:kern w:val="0"/>
                <w:sz w:val="18"/>
                <w:szCs w:val="18"/>
                <w:highlight w:val="none"/>
                <w:lang w:val="en-US" w:eastAsia="zh-CN"/>
              </w:rPr>
              <w:t>1.85</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3.65</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w:t>
            </w:r>
          </w:p>
        </w:tc>
        <w:tc>
          <w:tcPr>
            <w:tcW w:w="260" w:type="pct"/>
            <w:gridSpan w:val="3"/>
            <w:vMerge w:val="continue"/>
            <w:shd w:val="clear" w:color="auto" w:fill="auto"/>
            <w:tcMar>
              <w:top w:w="15" w:type="dxa"/>
              <w:left w:w="15" w:type="dxa"/>
              <w:right w:w="15" w:type="dxa"/>
            </w:tcMar>
            <w:vAlign w:val="center"/>
          </w:tcPr>
          <w:p w14:paraId="25B3F373">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1EE30BF7">
            <w:pPr>
              <w:shd w:val="clear"/>
              <w:jc w:val="left"/>
              <w:rPr>
                <w:rFonts w:hint="default" w:ascii="Times New Roman" w:hAnsi="Times New Roman" w:cs="Times New Roman" w:eastAsiaTheme="minorEastAsia"/>
                <w:color w:val="auto"/>
                <w:sz w:val="18"/>
                <w:szCs w:val="18"/>
                <w:highlight w:val="none"/>
              </w:rPr>
            </w:pPr>
          </w:p>
        </w:tc>
      </w:tr>
      <w:tr w14:paraId="5FB1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485" w:hRule="atLeast"/>
        </w:trPr>
        <w:tc>
          <w:tcPr>
            <w:tcW w:w="116" w:type="pct"/>
            <w:vMerge w:val="continue"/>
            <w:shd w:val="clear" w:color="auto" w:fill="auto"/>
            <w:tcMar>
              <w:top w:w="15" w:type="dxa"/>
              <w:left w:w="15" w:type="dxa"/>
              <w:right w:w="15" w:type="dxa"/>
            </w:tcMar>
            <w:vAlign w:val="center"/>
          </w:tcPr>
          <w:p w14:paraId="1F5CD95D">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504ED24B">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E00E3BF">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5D7C1E94">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199A4798">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0ACFEBDA">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侵占、毁损、擅自拆除、移动燃气设施或者擅自改动市政燃气设施3处</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0076410A">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对单位处</w:t>
            </w:r>
            <w:r>
              <w:rPr>
                <w:rFonts w:hint="default" w:ascii="Times New Roman" w:hAnsi="Times New Roman" w:cs="Times New Roman" w:eastAsiaTheme="minorEastAsia"/>
                <w:color w:val="auto"/>
                <w:kern w:val="0"/>
                <w:sz w:val="18"/>
                <w:szCs w:val="18"/>
                <w:highlight w:val="none"/>
                <w:lang w:val="en-US"/>
              </w:rPr>
              <w:t>8.5万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元以下罚款，对个人处</w:t>
            </w:r>
            <w:r>
              <w:rPr>
                <w:rFonts w:hint="default" w:ascii="Times New Roman" w:hAnsi="Times New Roman" w:cs="Times New Roman" w:eastAsiaTheme="minorEastAsia"/>
                <w:color w:val="auto"/>
                <w:kern w:val="0"/>
                <w:sz w:val="18"/>
                <w:szCs w:val="18"/>
                <w:highlight w:val="none"/>
                <w:lang w:val="en-US" w:eastAsia="zh-CN"/>
              </w:rPr>
              <w:t>3.65</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5万</w:t>
            </w:r>
            <w:r>
              <w:rPr>
                <w:rFonts w:hint="default" w:ascii="Times New Roman" w:hAnsi="Times New Roman" w:cs="Times New Roman" w:eastAsiaTheme="minorEastAsia"/>
                <w:color w:val="auto"/>
                <w:kern w:val="0"/>
                <w:sz w:val="18"/>
                <w:szCs w:val="18"/>
                <w:highlight w:val="none"/>
              </w:rPr>
              <w:t>元以下罚款</w:t>
            </w:r>
          </w:p>
        </w:tc>
        <w:tc>
          <w:tcPr>
            <w:tcW w:w="260" w:type="pct"/>
            <w:gridSpan w:val="3"/>
            <w:vMerge w:val="continue"/>
            <w:shd w:val="clear" w:color="auto" w:fill="auto"/>
            <w:tcMar>
              <w:top w:w="15" w:type="dxa"/>
              <w:left w:w="15" w:type="dxa"/>
              <w:right w:w="15" w:type="dxa"/>
            </w:tcMar>
            <w:vAlign w:val="center"/>
          </w:tcPr>
          <w:p w14:paraId="39FB5BAA">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6470060A">
            <w:pPr>
              <w:shd w:val="clear"/>
              <w:jc w:val="left"/>
              <w:rPr>
                <w:rFonts w:hint="default" w:ascii="Times New Roman" w:hAnsi="Times New Roman" w:cs="Times New Roman" w:eastAsiaTheme="minorEastAsia"/>
                <w:color w:val="auto"/>
                <w:sz w:val="18"/>
                <w:szCs w:val="18"/>
                <w:highlight w:val="none"/>
              </w:rPr>
            </w:pPr>
          </w:p>
        </w:tc>
      </w:tr>
      <w:tr w14:paraId="3993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005" w:hRule="atLeast"/>
        </w:trPr>
        <w:tc>
          <w:tcPr>
            <w:tcW w:w="116" w:type="pct"/>
            <w:vMerge w:val="restart"/>
            <w:shd w:val="clear" w:color="auto" w:fill="auto"/>
            <w:tcMar>
              <w:top w:w="15" w:type="dxa"/>
              <w:left w:w="15" w:type="dxa"/>
              <w:right w:w="15" w:type="dxa"/>
            </w:tcMar>
            <w:vAlign w:val="center"/>
          </w:tcPr>
          <w:p w14:paraId="2E7B346A">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142</w:t>
            </w:r>
          </w:p>
        </w:tc>
        <w:tc>
          <w:tcPr>
            <w:tcW w:w="411" w:type="pct"/>
            <w:gridSpan w:val="2"/>
            <w:vMerge w:val="restart"/>
            <w:shd w:val="clear" w:color="auto" w:fill="auto"/>
            <w:tcMar>
              <w:top w:w="15" w:type="dxa"/>
              <w:left w:w="15" w:type="dxa"/>
              <w:right w:w="15" w:type="dxa"/>
            </w:tcMar>
            <w:vAlign w:val="center"/>
          </w:tcPr>
          <w:p w14:paraId="3F933CCB">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毁损、覆盖、涂改、擅自拆除或者移动燃气设施安全警示标志</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tcMar>
              <w:top w:w="15" w:type="dxa"/>
              <w:left w:w="15" w:type="dxa"/>
              <w:right w:w="15" w:type="dxa"/>
            </w:tcMar>
            <w:vAlign w:val="center"/>
          </w:tcPr>
          <w:p w14:paraId="225299C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《城镇燃气管理条例》第三十六条第一款：“任何单位和个人不得侵占、毁损、擅自拆除或者移动燃气设施，不得毁损、覆盖、涂改、擅自拆除或者移动燃气设施安全警示标志。”</w:t>
            </w:r>
          </w:p>
        </w:tc>
        <w:tc>
          <w:tcPr>
            <w:tcW w:w="1314" w:type="pct"/>
            <w:gridSpan w:val="2"/>
            <w:vMerge w:val="restart"/>
            <w:shd w:val="clear" w:color="auto" w:fill="auto"/>
            <w:tcMar>
              <w:top w:w="15" w:type="dxa"/>
              <w:left w:w="15" w:type="dxa"/>
              <w:right w:w="15" w:type="dxa"/>
            </w:tcMar>
            <w:vAlign w:val="center"/>
          </w:tcPr>
          <w:p w14:paraId="21F77FAF">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《城镇燃气管理条例》第五十一条第二款：“违反本条例规定，毁损、覆盖、涂改、擅自拆除或者移动燃气设施安全警示标志的，由燃气管理部门责令限期改正，恢复原状，可以处5000元以下罚款。”</w:t>
            </w:r>
          </w:p>
        </w:tc>
        <w:tc>
          <w:tcPr>
            <w:tcW w:w="177" w:type="pct"/>
            <w:gridSpan w:val="2"/>
            <w:shd w:val="clear" w:color="auto" w:fill="auto"/>
            <w:tcMar>
              <w:top w:w="15" w:type="dxa"/>
              <w:left w:w="15" w:type="dxa"/>
              <w:right w:w="15" w:type="dxa"/>
            </w:tcMar>
            <w:vAlign w:val="center"/>
          </w:tcPr>
          <w:p w14:paraId="1413D667">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77D88B97">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毁损、覆盖、涂改、擅自拆除或者移动燃气设施安全警示标志1处</w:t>
            </w:r>
          </w:p>
        </w:tc>
        <w:tc>
          <w:tcPr>
            <w:tcW w:w="545" w:type="pct"/>
            <w:gridSpan w:val="2"/>
            <w:shd w:val="clear" w:color="auto" w:fill="auto"/>
            <w:tcMar>
              <w:top w:w="15" w:type="dxa"/>
              <w:left w:w="15" w:type="dxa"/>
              <w:right w:w="15" w:type="dxa"/>
            </w:tcMar>
            <w:vAlign w:val="center"/>
          </w:tcPr>
          <w:p w14:paraId="1133A60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可以处1500元以下罚款</w:t>
            </w:r>
          </w:p>
        </w:tc>
        <w:tc>
          <w:tcPr>
            <w:tcW w:w="260" w:type="pct"/>
            <w:gridSpan w:val="3"/>
            <w:vMerge w:val="restart"/>
            <w:shd w:val="clear" w:color="auto" w:fill="auto"/>
            <w:tcMar>
              <w:top w:w="15" w:type="dxa"/>
              <w:left w:w="15" w:type="dxa"/>
              <w:right w:w="15" w:type="dxa"/>
            </w:tcMar>
            <w:vAlign w:val="center"/>
          </w:tcPr>
          <w:p w14:paraId="336D6663">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责令限期改正，恢复原状</w:t>
            </w:r>
          </w:p>
          <w:p w14:paraId="395BFA03">
            <w:pPr>
              <w:widowControl/>
              <w:shd w:val="clear"/>
              <w:jc w:val="left"/>
              <w:textAlignment w:val="center"/>
              <w:rPr>
                <w:rFonts w:hint="default" w:ascii="Times New Roman" w:hAnsi="Times New Roman" w:cs="Times New Roman" w:eastAsiaTheme="minorEastAsia"/>
                <w:color w:val="auto"/>
                <w:sz w:val="18"/>
                <w:szCs w:val="18"/>
                <w:highlight w:val="none"/>
              </w:rPr>
            </w:pPr>
          </w:p>
          <w:p w14:paraId="65886CA4">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42B37E4C">
            <w:pPr>
              <w:shd w:val="clear"/>
              <w:jc w:val="left"/>
              <w:rPr>
                <w:rFonts w:hint="default" w:ascii="Times New Roman" w:hAnsi="Times New Roman" w:cs="Times New Roman" w:eastAsiaTheme="minorEastAsia"/>
                <w:color w:val="auto"/>
                <w:sz w:val="18"/>
                <w:szCs w:val="18"/>
                <w:highlight w:val="none"/>
                <w:lang w:val="en-US" w:eastAsia="zh-CN"/>
              </w:rPr>
            </w:pPr>
          </w:p>
        </w:tc>
      </w:tr>
      <w:tr w14:paraId="68624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005" w:hRule="atLeast"/>
        </w:trPr>
        <w:tc>
          <w:tcPr>
            <w:tcW w:w="116" w:type="pct"/>
            <w:vMerge w:val="continue"/>
            <w:shd w:val="clear" w:color="auto" w:fill="auto"/>
            <w:tcMar>
              <w:top w:w="15" w:type="dxa"/>
              <w:left w:w="15" w:type="dxa"/>
              <w:right w:w="15" w:type="dxa"/>
            </w:tcMar>
            <w:vAlign w:val="center"/>
          </w:tcPr>
          <w:p w14:paraId="7577B62E">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6694C96D">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3D78411F">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39013A55">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68883E40">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22714826">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毁损、覆盖、涂改、擅自拆除或者移动燃气设施安全警示标志2处</w:t>
            </w:r>
          </w:p>
        </w:tc>
        <w:tc>
          <w:tcPr>
            <w:tcW w:w="545" w:type="pct"/>
            <w:gridSpan w:val="2"/>
            <w:shd w:val="clear" w:color="auto" w:fill="auto"/>
            <w:tcMar>
              <w:top w:w="15" w:type="dxa"/>
              <w:left w:w="15" w:type="dxa"/>
              <w:right w:w="15" w:type="dxa"/>
            </w:tcMar>
            <w:vAlign w:val="center"/>
          </w:tcPr>
          <w:p w14:paraId="35F40F87">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可以处1500元以上3500元以下罚款</w:t>
            </w:r>
          </w:p>
        </w:tc>
        <w:tc>
          <w:tcPr>
            <w:tcW w:w="260" w:type="pct"/>
            <w:gridSpan w:val="3"/>
            <w:vMerge w:val="continue"/>
            <w:shd w:val="clear" w:color="auto" w:fill="auto"/>
            <w:tcMar>
              <w:top w:w="15" w:type="dxa"/>
              <w:left w:w="15" w:type="dxa"/>
              <w:right w:w="15" w:type="dxa"/>
            </w:tcMar>
            <w:vAlign w:val="center"/>
          </w:tcPr>
          <w:p w14:paraId="60BFE827">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744F6038">
            <w:pPr>
              <w:shd w:val="clear"/>
              <w:jc w:val="left"/>
              <w:rPr>
                <w:rFonts w:hint="default" w:ascii="Times New Roman" w:hAnsi="Times New Roman" w:cs="Times New Roman" w:eastAsiaTheme="minorEastAsia"/>
                <w:color w:val="auto"/>
                <w:sz w:val="18"/>
                <w:szCs w:val="18"/>
                <w:highlight w:val="none"/>
              </w:rPr>
            </w:pPr>
          </w:p>
        </w:tc>
      </w:tr>
      <w:tr w14:paraId="16E1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005" w:hRule="atLeast"/>
        </w:trPr>
        <w:tc>
          <w:tcPr>
            <w:tcW w:w="116" w:type="pct"/>
            <w:vMerge w:val="continue"/>
            <w:shd w:val="clear" w:color="auto" w:fill="auto"/>
            <w:tcMar>
              <w:top w:w="15" w:type="dxa"/>
              <w:left w:w="15" w:type="dxa"/>
              <w:right w:w="15" w:type="dxa"/>
            </w:tcMar>
            <w:vAlign w:val="center"/>
          </w:tcPr>
          <w:p w14:paraId="1341DF24">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3C6FE00A">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3970069F">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184CFAC9">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29BABF37">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2D1563A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毁损、覆盖、涂改、擅自拆除或者移动燃气设施安全警示标志3处</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6CF6B74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可以处3500元以上5000元以下罚款</w:t>
            </w:r>
          </w:p>
        </w:tc>
        <w:tc>
          <w:tcPr>
            <w:tcW w:w="260" w:type="pct"/>
            <w:gridSpan w:val="3"/>
            <w:vMerge w:val="continue"/>
            <w:shd w:val="clear" w:color="auto" w:fill="auto"/>
            <w:tcMar>
              <w:top w:w="15" w:type="dxa"/>
              <w:left w:w="15" w:type="dxa"/>
              <w:right w:w="15" w:type="dxa"/>
            </w:tcMar>
            <w:vAlign w:val="center"/>
          </w:tcPr>
          <w:p w14:paraId="7DDD27A5">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4D604F4B">
            <w:pPr>
              <w:shd w:val="clear"/>
              <w:jc w:val="left"/>
              <w:rPr>
                <w:rFonts w:hint="default" w:ascii="Times New Roman" w:hAnsi="Times New Roman" w:cs="Times New Roman" w:eastAsiaTheme="minorEastAsia"/>
                <w:color w:val="auto"/>
                <w:sz w:val="18"/>
                <w:szCs w:val="18"/>
                <w:highlight w:val="none"/>
              </w:rPr>
            </w:pPr>
          </w:p>
        </w:tc>
      </w:tr>
      <w:tr w14:paraId="6787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061" w:hRule="atLeast"/>
        </w:trPr>
        <w:tc>
          <w:tcPr>
            <w:tcW w:w="116" w:type="pct"/>
            <w:vMerge w:val="restart"/>
            <w:shd w:val="clear" w:color="auto" w:fill="auto"/>
            <w:tcMar>
              <w:top w:w="15" w:type="dxa"/>
              <w:left w:w="15" w:type="dxa"/>
              <w:right w:w="15" w:type="dxa"/>
            </w:tcMar>
            <w:vAlign w:val="center"/>
          </w:tcPr>
          <w:p w14:paraId="1AA7E696">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143</w:t>
            </w:r>
          </w:p>
        </w:tc>
        <w:tc>
          <w:tcPr>
            <w:tcW w:w="411" w:type="pct"/>
            <w:gridSpan w:val="2"/>
            <w:vMerge w:val="restart"/>
            <w:shd w:val="clear" w:color="auto" w:fill="auto"/>
            <w:tcMar>
              <w:top w:w="15" w:type="dxa"/>
              <w:left w:w="15" w:type="dxa"/>
              <w:right w:w="15" w:type="dxa"/>
            </w:tcMar>
            <w:vAlign w:val="center"/>
          </w:tcPr>
          <w:p w14:paraId="42740918">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建设单位未会同施工单位与管道燃气经营者共同制定燃气设施保护方案，或者建设单位、施工单位未采取相应的安全保护措施的</w:t>
            </w:r>
          </w:p>
        </w:tc>
        <w:tc>
          <w:tcPr>
            <w:tcW w:w="1310" w:type="pct"/>
            <w:gridSpan w:val="2"/>
            <w:vMerge w:val="restart"/>
            <w:shd w:val="clear" w:color="auto" w:fill="auto"/>
            <w:tcMar>
              <w:top w:w="15" w:type="dxa"/>
              <w:left w:w="15" w:type="dxa"/>
              <w:right w:w="15" w:type="dxa"/>
            </w:tcMar>
            <w:vAlign w:val="center"/>
          </w:tcPr>
          <w:p w14:paraId="7B8480F1">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城镇燃气管理条例》第三十七条第三款：“建设工程施工范围内有地下燃气管线等重要燃气设施的，建设单位应当会同施工单位与管道燃气经营者共同制定燃气设施保护方案。建设单位、施工单位应当采取相应的安全保护措施，确保燃气设施运行安全；管道燃气经营者应当派专业人员进行现场指导。法律、法规另有规定的，依照有关法律、法规的规定执行。”</w:t>
            </w:r>
          </w:p>
        </w:tc>
        <w:tc>
          <w:tcPr>
            <w:tcW w:w="1314" w:type="pct"/>
            <w:gridSpan w:val="2"/>
            <w:vMerge w:val="restart"/>
            <w:shd w:val="clear" w:color="auto" w:fill="auto"/>
            <w:tcMar>
              <w:top w:w="15" w:type="dxa"/>
              <w:left w:w="15" w:type="dxa"/>
              <w:right w:w="15" w:type="dxa"/>
            </w:tcMar>
            <w:vAlign w:val="center"/>
          </w:tcPr>
          <w:p w14:paraId="3A9867FF">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城镇燃气管理条例》第五十二条：“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177" w:type="pct"/>
            <w:gridSpan w:val="2"/>
            <w:shd w:val="clear" w:color="auto" w:fill="auto"/>
            <w:tcMar>
              <w:top w:w="15" w:type="dxa"/>
              <w:left w:w="15" w:type="dxa"/>
              <w:right w:w="15" w:type="dxa"/>
            </w:tcMar>
            <w:vAlign w:val="center"/>
          </w:tcPr>
          <w:p w14:paraId="3413E350">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71112AA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尚未危及燃气设施或妨碍燃气设施正常使用</w:t>
            </w:r>
          </w:p>
        </w:tc>
        <w:tc>
          <w:tcPr>
            <w:tcW w:w="545" w:type="pct"/>
            <w:gridSpan w:val="2"/>
            <w:shd w:val="clear" w:color="auto" w:fill="auto"/>
            <w:tcMar>
              <w:top w:w="15" w:type="dxa"/>
              <w:left w:w="15" w:type="dxa"/>
              <w:right w:w="15" w:type="dxa"/>
            </w:tcMar>
            <w:vAlign w:val="center"/>
          </w:tcPr>
          <w:p w14:paraId="44E5FEC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rPr>
              <w:t>1万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3.7</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w:t>
            </w:r>
          </w:p>
        </w:tc>
        <w:tc>
          <w:tcPr>
            <w:tcW w:w="260" w:type="pct"/>
            <w:gridSpan w:val="3"/>
            <w:vMerge w:val="restart"/>
            <w:shd w:val="clear" w:color="auto" w:fill="auto"/>
            <w:tcMar>
              <w:top w:w="15" w:type="dxa"/>
              <w:left w:w="15" w:type="dxa"/>
              <w:right w:w="15" w:type="dxa"/>
            </w:tcMar>
            <w:vAlign w:val="center"/>
          </w:tcPr>
          <w:p w14:paraId="4E02942A">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责令改正，造成损失的，依法承担赔偿责任；构成犯罪的，依法追究刑事责任</w:t>
            </w:r>
          </w:p>
          <w:p w14:paraId="2D4C6646">
            <w:pPr>
              <w:widowControl/>
              <w:shd w:val="clear"/>
              <w:jc w:val="left"/>
              <w:textAlignment w:val="center"/>
              <w:rPr>
                <w:rFonts w:hint="default" w:ascii="Times New Roman" w:hAnsi="Times New Roman" w:cs="Times New Roman" w:eastAsiaTheme="minorEastAsia"/>
                <w:color w:val="auto"/>
                <w:sz w:val="18"/>
                <w:szCs w:val="18"/>
                <w:highlight w:val="none"/>
              </w:rPr>
            </w:pPr>
          </w:p>
          <w:p w14:paraId="655EA530">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034D00C2">
            <w:pPr>
              <w:shd w:val="clear"/>
              <w:jc w:val="left"/>
              <w:rPr>
                <w:rFonts w:hint="default" w:ascii="Times New Roman" w:hAnsi="Times New Roman" w:cs="Times New Roman" w:eastAsiaTheme="minorEastAsia"/>
                <w:color w:val="auto"/>
                <w:sz w:val="18"/>
                <w:szCs w:val="18"/>
                <w:highlight w:val="none"/>
                <w:lang w:val="en-US" w:eastAsia="zh-CN"/>
              </w:rPr>
            </w:pPr>
          </w:p>
        </w:tc>
      </w:tr>
      <w:tr w14:paraId="686E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428" w:hRule="atLeast"/>
        </w:trPr>
        <w:tc>
          <w:tcPr>
            <w:tcW w:w="116" w:type="pct"/>
            <w:vMerge w:val="continue"/>
            <w:shd w:val="clear" w:color="auto" w:fill="auto"/>
            <w:tcMar>
              <w:top w:w="15" w:type="dxa"/>
              <w:left w:w="15" w:type="dxa"/>
              <w:right w:w="15" w:type="dxa"/>
            </w:tcMar>
            <w:vAlign w:val="center"/>
          </w:tcPr>
          <w:p w14:paraId="0A700052">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20587CF8">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113AC73A">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6C3451B7">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4AFAD809">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3921F7C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造成燃气设施损害或妨碍燃气设施正常使用，存在安全隐患</w:t>
            </w:r>
          </w:p>
        </w:tc>
        <w:tc>
          <w:tcPr>
            <w:tcW w:w="545" w:type="pct"/>
            <w:gridSpan w:val="2"/>
            <w:shd w:val="clear" w:color="auto" w:fill="auto"/>
            <w:tcMar>
              <w:top w:w="15" w:type="dxa"/>
              <w:left w:w="15" w:type="dxa"/>
              <w:right w:w="15" w:type="dxa"/>
            </w:tcMar>
            <w:vAlign w:val="center"/>
          </w:tcPr>
          <w:p w14:paraId="1F1FE68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3.7</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w:t>
            </w:r>
          </w:p>
        </w:tc>
        <w:tc>
          <w:tcPr>
            <w:tcW w:w="260" w:type="pct"/>
            <w:gridSpan w:val="3"/>
            <w:vMerge w:val="continue"/>
            <w:shd w:val="clear" w:color="auto" w:fill="auto"/>
            <w:tcMar>
              <w:top w:w="15" w:type="dxa"/>
              <w:left w:w="15" w:type="dxa"/>
              <w:right w:w="15" w:type="dxa"/>
            </w:tcMar>
            <w:vAlign w:val="center"/>
          </w:tcPr>
          <w:p w14:paraId="539FB2A5">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1715D5AB">
            <w:pPr>
              <w:shd w:val="clear"/>
              <w:jc w:val="left"/>
              <w:rPr>
                <w:rFonts w:hint="default" w:ascii="Times New Roman" w:hAnsi="Times New Roman" w:cs="Times New Roman" w:eastAsiaTheme="minorEastAsia"/>
                <w:color w:val="auto"/>
                <w:sz w:val="18"/>
                <w:szCs w:val="18"/>
                <w:highlight w:val="none"/>
              </w:rPr>
            </w:pPr>
          </w:p>
        </w:tc>
      </w:tr>
      <w:tr w14:paraId="3EAE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35" w:hRule="atLeast"/>
        </w:trPr>
        <w:tc>
          <w:tcPr>
            <w:tcW w:w="116" w:type="pct"/>
            <w:vMerge w:val="continue"/>
            <w:shd w:val="clear" w:color="auto" w:fill="auto"/>
            <w:tcMar>
              <w:top w:w="15" w:type="dxa"/>
              <w:left w:w="15" w:type="dxa"/>
              <w:right w:w="15" w:type="dxa"/>
            </w:tcMar>
            <w:vAlign w:val="center"/>
          </w:tcPr>
          <w:p w14:paraId="2FAB7E64">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08BB209E">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22A68EB0">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73272995">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119366E4">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385751F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已造成安全事故</w:t>
            </w:r>
          </w:p>
        </w:tc>
        <w:tc>
          <w:tcPr>
            <w:tcW w:w="545" w:type="pct"/>
            <w:gridSpan w:val="2"/>
            <w:shd w:val="clear" w:color="auto" w:fill="auto"/>
            <w:tcMar>
              <w:top w:w="15" w:type="dxa"/>
              <w:left w:w="15" w:type="dxa"/>
              <w:right w:w="15" w:type="dxa"/>
            </w:tcMar>
            <w:vAlign w:val="center"/>
          </w:tcPr>
          <w:p w14:paraId="089AE76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7.3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元以下罚款</w:t>
            </w:r>
          </w:p>
        </w:tc>
        <w:tc>
          <w:tcPr>
            <w:tcW w:w="260" w:type="pct"/>
            <w:gridSpan w:val="3"/>
            <w:vMerge w:val="continue"/>
            <w:shd w:val="clear" w:color="auto" w:fill="auto"/>
            <w:tcMar>
              <w:top w:w="15" w:type="dxa"/>
              <w:left w:w="15" w:type="dxa"/>
              <w:right w:w="15" w:type="dxa"/>
            </w:tcMar>
            <w:vAlign w:val="center"/>
          </w:tcPr>
          <w:p w14:paraId="7D64AAA6">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3C29495C">
            <w:pPr>
              <w:shd w:val="clear"/>
              <w:jc w:val="left"/>
              <w:rPr>
                <w:rFonts w:hint="default" w:ascii="Times New Roman" w:hAnsi="Times New Roman" w:cs="Times New Roman" w:eastAsiaTheme="minorEastAsia"/>
                <w:color w:val="auto"/>
                <w:sz w:val="18"/>
                <w:szCs w:val="18"/>
                <w:highlight w:val="none"/>
              </w:rPr>
            </w:pPr>
          </w:p>
        </w:tc>
      </w:tr>
      <w:tr w14:paraId="308E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031" w:hRule="atLeast"/>
        </w:trPr>
        <w:tc>
          <w:tcPr>
            <w:tcW w:w="116" w:type="pct"/>
            <w:vMerge w:val="restart"/>
            <w:shd w:val="clear" w:color="auto" w:fill="auto"/>
            <w:tcMar>
              <w:top w:w="15" w:type="dxa"/>
              <w:left w:w="15" w:type="dxa"/>
              <w:right w:w="15" w:type="dxa"/>
            </w:tcMar>
            <w:vAlign w:val="center"/>
          </w:tcPr>
          <w:p w14:paraId="7A5E342E">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144</w:t>
            </w:r>
          </w:p>
        </w:tc>
        <w:tc>
          <w:tcPr>
            <w:tcW w:w="411" w:type="pct"/>
            <w:gridSpan w:val="2"/>
            <w:vMerge w:val="restart"/>
            <w:shd w:val="clear" w:color="auto" w:fill="auto"/>
            <w:tcMar>
              <w:top w:w="15" w:type="dxa"/>
              <w:left w:w="15" w:type="dxa"/>
              <w:right w:w="15" w:type="dxa"/>
            </w:tcMar>
            <w:vAlign w:val="center"/>
          </w:tcPr>
          <w:p w14:paraId="7D5CD463">
            <w:pPr>
              <w:widowControl/>
              <w:shd w:val="clear"/>
              <w:jc w:val="center"/>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在管道燃气已覆盖的区域内新建气化站、瓶组站</w:t>
            </w:r>
            <w:r>
              <w:rPr>
                <w:rFonts w:hint="eastAsia" w:ascii="Times New Roman" w:hAnsi="Times New Roman" w:cs="Times New Roman"/>
                <w:color w:val="auto"/>
                <w:kern w:val="0"/>
                <w:sz w:val="18"/>
                <w:szCs w:val="18"/>
                <w:highlight w:val="none"/>
                <w:lang w:val="en-US" w:eastAsia="zh-CN"/>
              </w:rPr>
              <w:t>,</w:t>
            </w:r>
            <w:r>
              <w:rPr>
                <w:rFonts w:hint="default" w:ascii="Times New Roman" w:hAnsi="Times New Roman" w:cs="Times New Roman" w:eastAsiaTheme="minorEastAsia"/>
                <w:color w:val="auto"/>
                <w:kern w:val="0"/>
                <w:sz w:val="18"/>
                <w:szCs w:val="18"/>
                <w:highlight w:val="none"/>
                <w:lang w:val="en-US" w:eastAsia="zh-CN"/>
              </w:rPr>
              <w:t>逾期未改正的</w:t>
            </w:r>
          </w:p>
        </w:tc>
        <w:tc>
          <w:tcPr>
            <w:tcW w:w="1310" w:type="pct"/>
            <w:gridSpan w:val="2"/>
            <w:vMerge w:val="restart"/>
            <w:shd w:val="clear" w:color="auto" w:fill="auto"/>
            <w:tcMar>
              <w:top w:w="15" w:type="dxa"/>
              <w:left w:w="15" w:type="dxa"/>
              <w:right w:w="15" w:type="dxa"/>
            </w:tcMar>
            <w:vAlign w:val="center"/>
          </w:tcPr>
          <w:p w14:paraId="157ADD8F">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《广东省燃气管理条例》第十三条</w:t>
            </w:r>
            <w:r>
              <w:rPr>
                <w:rFonts w:hint="default" w:ascii="Times New Roman" w:hAnsi="Times New Roman" w:cs="Times New Roman" w:eastAsiaTheme="minorEastAsia"/>
                <w:color w:val="auto"/>
                <w:kern w:val="0"/>
                <w:sz w:val="18"/>
                <w:szCs w:val="18"/>
                <w:highlight w:val="none"/>
                <w:lang w:eastAsia="zh-CN"/>
              </w:rPr>
              <w:t>第三款：“</w:t>
            </w:r>
            <w:r>
              <w:rPr>
                <w:rFonts w:hint="default" w:ascii="Times New Roman" w:hAnsi="Times New Roman" w:cs="Times New Roman" w:eastAsiaTheme="minorEastAsia"/>
                <w:color w:val="auto"/>
                <w:kern w:val="0"/>
                <w:sz w:val="18"/>
                <w:szCs w:val="18"/>
                <w:highlight w:val="none"/>
              </w:rPr>
              <w:t>在管道燃气已覆盖区域内，不得新建气化站、瓶组站，调峰和应急需要的除外。</w:t>
            </w:r>
            <w:r>
              <w:rPr>
                <w:rFonts w:hint="default" w:ascii="Times New Roman" w:hAnsi="Times New Roman" w:cs="Times New Roman" w:eastAsiaTheme="minorEastAsia"/>
                <w:color w:val="auto"/>
                <w:kern w:val="0"/>
                <w:sz w:val="18"/>
                <w:szCs w:val="18"/>
                <w:highlight w:val="none"/>
                <w:lang w:eastAsia="zh-CN"/>
              </w:rPr>
              <w:t>”</w:t>
            </w:r>
          </w:p>
        </w:tc>
        <w:tc>
          <w:tcPr>
            <w:tcW w:w="1314" w:type="pct"/>
            <w:gridSpan w:val="2"/>
            <w:vMerge w:val="restart"/>
            <w:shd w:val="clear" w:color="auto" w:fill="auto"/>
            <w:tcMar>
              <w:top w:w="15" w:type="dxa"/>
              <w:left w:w="15" w:type="dxa"/>
              <w:right w:w="15" w:type="dxa"/>
            </w:tcMar>
            <w:vAlign w:val="center"/>
          </w:tcPr>
          <w:p w14:paraId="6F912DA7">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rPr>
              <w:t>《广东省燃气管理条例》第三十六条</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违反本条例第十三条第三款规定，在管道燃气已覆盖区域内新建气化站、瓶组站的，由县级以上人民政府燃气管理部门责令停止建设，限期改正；逾期未改正的，对建设单位处三万元以上二十万元以下罚款。</w:t>
            </w:r>
            <w:r>
              <w:rPr>
                <w:rFonts w:hint="default" w:ascii="Times New Roman" w:hAnsi="Times New Roman" w:cs="Times New Roman" w:eastAsiaTheme="minorEastAsia"/>
                <w:color w:val="auto"/>
                <w:kern w:val="0"/>
                <w:sz w:val="18"/>
                <w:szCs w:val="18"/>
                <w:highlight w:val="none"/>
                <w:lang w:eastAsia="zh-CN"/>
              </w:rPr>
              <w:t>”</w:t>
            </w:r>
          </w:p>
        </w:tc>
        <w:tc>
          <w:tcPr>
            <w:tcW w:w="177" w:type="pct"/>
            <w:gridSpan w:val="2"/>
            <w:shd w:val="clear" w:color="auto" w:fill="auto"/>
            <w:tcMar>
              <w:top w:w="15" w:type="dxa"/>
              <w:left w:w="15" w:type="dxa"/>
              <w:right w:w="15" w:type="dxa"/>
            </w:tcMar>
            <w:vAlign w:val="center"/>
          </w:tcPr>
          <w:p w14:paraId="28E405BA">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0DD5AFAF">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新建气化站、瓶组站场地面积</w:t>
            </w:r>
            <w:r>
              <w:rPr>
                <w:rFonts w:hint="default" w:ascii="Times New Roman" w:hAnsi="Times New Roman" w:cs="Times New Roman" w:eastAsiaTheme="minorEastAsia"/>
                <w:color w:val="auto"/>
                <w:kern w:val="0"/>
                <w:sz w:val="18"/>
                <w:szCs w:val="18"/>
                <w:highlight w:val="none"/>
                <w:lang w:val="en-US" w:eastAsia="zh-CN"/>
              </w:rPr>
              <w:t>30</w:t>
            </w:r>
            <w:r>
              <w:rPr>
                <w:rFonts w:hint="default" w:ascii="Times New Roman" w:hAnsi="Times New Roman" w:cs="Times New Roman" w:eastAsiaTheme="minorEastAsia"/>
                <w:color w:val="auto"/>
                <w:kern w:val="0"/>
                <w:sz w:val="18"/>
                <w:szCs w:val="18"/>
                <w:highlight w:val="none"/>
              </w:rPr>
              <w:t>平方米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4E22F62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对建设单位处</w:t>
            </w:r>
            <w:r>
              <w:rPr>
                <w:rFonts w:hint="default" w:ascii="Times New Roman" w:hAnsi="Times New Roman" w:cs="Times New Roman" w:eastAsiaTheme="minorEastAsia"/>
                <w:color w:val="auto"/>
                <w:kern w:val="0"/>
                <w:sz w:val="18"/>
                <w:szCs w:val="18"/>
                <w:highlight w:val="none"/>
                <w:lang w:val="en-US" w:eastAsia="zh-CN"/>
              </w:rPr>
              <w:t>3</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8.1</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w:t>
            </w:r>
          </w:p>
        </w:tc>
        <w:tc>
          <w:tcPr>
            <w:tcW w:w="260" w:type="pct"/>
            <w:gridSpan w:val="3"/>
            <w:vMerge w:val="restart"/>
            <w:shd w:val="clear" w:color="auto" w:fill="auto"/>
            <w:tcMar>
              <w:top w:w="15" w:type="dxa"/>
              <w:left w:w="15" w:type="dxa"/>
              <w:right w:w="15" w:type="dxa"/>
            </w:tcMar>
            <w:vAlign w:val="center"/>
          </w:tcPr>
          <w:p w14:paraId="556EE780">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责令停止建设，限期改正</w:t>
            </w:r>
          </w:p>
          <w:p w14:paraId="0A92E1CC">
            <w:pPr>
              <w:widowControl/>
              <w:shd w:val="clear"/>
              <w:jc w:val="left"/>
              <w:textAlignment w:val="center"/>
              <w:rPr>
                <w:rFonts w:hint="default" w:ascii="Times New Roman" w:hAnsi="Times New Roman" w:cs="Times New Roman" w:eastAsiaTheme="minorEastAsia"/>
                <w:color w:val="auto"/>
                <w:sz w:val="18"/>
                <w:szCs w:val="18"/>
                <w:highlight w:val="none"/>
              </w:rPr>
            </w:pPr>
          </w:p>
          <w:p w14:paraId="62A25B7F">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1809B9CA">
            <w:pPr>
              <w:shd w:val="clear"/>
              <w:jc w:val="left"/>
              <w:rPr>
                <w:rFonts w:hint="default" w:ascii="Times New Roman" w:hAnsi="Times New Roman" w:cs="Times New Roman" w:eastAsiaTheme="minorEastAsia"/>
                <w:color w:val="auto"/>
                <w:sz w:val="18"/>
                <w:szCs w:val="18"/>
                <w:highlight w:val="none"/>
                <w:lang w:val="en-US" w:eastAsia="zh-CN"/>
              </w:rPr>
            </w:pPr>
          </w:p>
        </w:tc>
      </w:tr>
      <w:tr w14:paraId="1B7D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046" w:hRule="atLeast"/>
        </w:trPr>
        <w:tc>
          <w:tcPr>
            <w:tcW w:w="116" w:type="pct"/>
            <w:vMerge w:val="continue"/>
            <w:shd w:val="clear" w:color="auto" w:fill="auto"/>
            <w:tcMar>
              <w:top w:w="15" w:type="dxa"/>
              <w:left w:w="15" w:type="dxa"/>
              <w:right w:w="15" w:type="dxa"/>
            </w:tcMar>
            <w:vAlign w:val="center"/>
          </w:tcPr>
          <w:p w14:paraId="052345A7">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459FEB35">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5618211B">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301D1D4A">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71C61942">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2D695FAE">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新建气化站、瓶组站</w:t>
            </w:r>
            <w:r>
              <w:rPr>
                <w:rFonts w:hint="default" w:ascii="Times New Roman" w:hAnsi="Times New Roman" w:cs="Times New Roman" w:eastAsiaTheme="minorEastAsia"/>
                <w:color w:val="FF0000"/>
                <w:kern w:val="0"/>
                <w:sz w:val="18"/>
                <w:szCs w:val="18"/>
                <w:highlight w:val="none"/>
              </w:rPr>
              <w:t>场地面积</w:t>
            </w:r>
            <w:r>
              <w:rPr>
                <w:rFonts w:hint="default" w:ascii="Times New Roman" w:hAnsi="Times New Roman" w:cs="Times New Roman" w:eastAsiaTheme="minorEastAsia"/>
                <w:color w:val="auto"/>
                <w:kern w:val="0"/>
                <w:sz w:val="18"/>
                <w:szCs w:val="18"/>
                <w:highlight w:val="none"/>
                <w:lang w:val="en-US" w:eastAsia="zh-CN"/>
              </w:rPr>
              <w:t>30</w:t>
            </w:r>
            <w:r>
              <w:rPr>
                <w:rFonts w:hint="default" w:ascii="Times New Roman" w:hAnsi="Times New Roman" w:cs="Times New Roman" w:eastAsiaTheme="minorEastAsia"/>
                <w:color w:val="auto"/>
                <w:kern w:val="0"/>
                <w:sz w:val="18"/>
                <w:szCs w:val="18"/>
                <w:highlight w:val="none"/>
              </w:rPr>
              <w:t>平方米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lang w:val="en-US" w:eastAsia="zh-CN"/>
              </w:rPr>
              <w:t>150</w:t>
            </w:r>
            <w:r>
              <w:rPr>
                <w:rFonts w:hint="default" w:ascii="Times New Roman" w:hAnsi="Times New Roman" w:cs="Times New Roman" w:eastAsiaTheme="minorEastAsia"/>
                <w:color w:val="auto"/>
                <w:kern w:val="0"/>
                <w:sz w:val="18"/>
                <w:szCs w:val="18"/>
                <w:highlight w:val="none"/>
              </w:rPr>
              <w:t>平方米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tcMar>
              <w:top w:w="15" w:type="dxa"/>
              <w:left w:w="15" w:type="dxa"/>
              <w:right w:w="15" w:type="dxa"/>
            </w:tcMar>
            <w:vAlign w:val="center"/>
          </w:tcPr>
          <w:p w14:paraId="086979B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对建设单位处</w:t>
            </w:r>
            <w:r>
              <w:rPr>
                <w:rFonts w:hint="default" w:ascii="Times New Roman" w:hAnsi="Times New Roman" w:cs="Times New Roman" w:eastAsiaTheme="minorEastAsia"/>
                <w:color w:val="auto"/>
                <w:kern w:val="0"/>
                <w:sz w:val="18"/>
                <w:szCs w:val="18"/>
                <w:highlight w:val="none"/>
                <w:lang w:val="en-US" w:eastAsia="zh-CN"/>
              </w:rPr>
              <w:t>8.1</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14.9</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w:t>
            </w:r>
          </w:p>
        </w:tc>
        <w:tc>
          <w:tcPr>
            <w:tcW w:w="260" w:type="pct"/>
            <w:gridSpan w:val="3"/>
            <w:vMerge w:val="continue"/>
            <w:shd w:val="clear" w:color="auto" w:fill="auto"/>
            <w:tcMar>
              <w:top w:w="15" w:type="dxa"/>
              <w:left w:w="15" w:type="dxa"/>
              <w:right w:w="15" w:type="dxa"/>
            </w:tcMar>
            <w:vAlign w:val="center"/>
          </w:tcPr>
          <w:p w14:paraId="6EE21F83">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769CAECE">
            <w:pPr>
              <w:shd w:val="clear"/>
              <w:jc w:val="left"/>
              <w:rPr>
                <w:rFonts w:hint="default" w:ascii="Times New Roman" w:hAnsi="Times New Roman" w:cs="Times New Roman" w:eastAsiaTheme="minorEastAsia"/>
                <w:color w:val="auto"/>
                <w:sz w:val="18"/>
                <w:szCs w:val="18"/>
                <w:highlight w:val="none"/>
              </w:rPr>
            </w:pPr>
          </w:p>
        </w:tc>
      </w:tr>
      <w:tr w14:paraId="1891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061" w:hRule="atLeast"/>
        </w:trPr>
        <w:tc>
          <w:tcPr>
            <w:tcW w:w="116" w:type="pct"/>
            <w:vMerge w:val="continue"/>
            <w:shd w:val="clear" w:color="auto" w:fill="auto"/>
            <w:tcMar>
              <w:top w:w="15" w:type="dxa"/>
              <w:left w:w="15" w:type="dxa"/>
              <w:right w:w="15" w:type="dxa"/>
            </w:tcMar>
            <w:vAlign w:val="center"/>
          </w:tcPr>
          <w:p w14:paraId="2CC91577">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5D2C7568">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5FEE5AC7">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0E83CBAE">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2895DFFC">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18BCD4D7">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新建气化站、瓶组站场地面积</w:t>
            </w:r>
            <w:r>
              <w:rPr>
                <w:rFonts w:hint="default" w:ascii="Times New Roman" w:hAnsi="Times New Roman" w:cs="Times New Roman" w:eastAsiaTheme="minorEastAsia"/>
                <w:color w:val="auto"/>
                <w:kern w:val="0"/>
                <w:sz w:val="18"/>
                <w:szCs w:val="18"/>
                <w:highlight w:val="none"/>
                <w:lang w:val="en-US" w:eastAsia="zh-CN"/>
              </w:rPr>
              <w:t>150</w:t>
            </w:r>
            <w:r>
              <w:rPr>
                <w:rFonts w:hint="default" w:ascii="Times New Roman" w:hAnsi="Times New Roman" w:cs="Times New Roman" w:eastAsiaTheme="minorEastAsia"/>
                <w:color w:val="auto"/>
                <w:kern w:val="0"/>
                <w:sz w:val="18"/>
                <w:szCs w:val="18"/>
                <w:highlight w:val="none"/>
              </w:rPr>
              <w:t>平方米</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tcMar>
              <w:top w:w="15" w:type="dxa"/>
              <w:left w:w="15" w:type="dxa"/>
              <w:right w:w="15" w:type="dxa"/>
            </w:tcMar>
            <w:vAlign w:val="center"/>
          </w:tcPr>
          <w:p w14:paraId="7299765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对建设单位处</w:t>
            </w:r>
            <w:r>
              <w:rPr>
                <w:rFonts w:hint="default" w:ascii="Times New Roman" w:hAnsi="Times New Roman" w:cs="Times New Roman" w:eastAsiaTheme="minorEastAsia"/>
                <w:color w:val="auto"/>
                <w:kern w:val="0"/>
                <w:sz w:val="18"/>
                <w:szCs w:val="18"/>
                <w:highlight w:val="none"/>
                <w:lang w:val="en-US" w:eastAsia="zh-CN"/>
              </w:rPr>
              <w:t>14.9</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20万</w:t>
            </w:r>
            <w:r>
              <w:rPr>
                <w:rFonts w:hint="default" w:ascii="Times New Roman" w:hAnsi="Times New Roman" w:cs="Times New Roman" w:eastAsiaTheme="minorEastAsia"/>
                <w:color w:val="auto"/>
                <w:kern w:val="0"/>
                <w:sz w:val="18"/>
                <w:szCs w:val="18"/>
                <w:highlight w:val="none"/>
              </w:rPr>
              <w:t>元以下罚款</w:t>
            </w:r>
          </w:p>
        </w:tc>
        <w:tc>
          <w:tcPr>
            <w:tcW w:w="260" w:type="pct"/>
            <w:gridSpan w:val="3"/>
            <w:vMerge w:val="continue"/>
            <w:shd w:val="clear" w:color="auto" w:fill="auto"/>
            <w:tcMar>
              <w:top w:w="15" w:type="dxa"/>
              <w:left w:w="15" w:type="dxa"/>
              <w:right w:w="15" w:type="dxa"/>
            </w:tcMar>
            <w:vAlign w:val="center"/>
          </w:tcPr>
          <w:p w14:paraId="115026A5">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2E6CD50B">
            <w:pPr>
              <w:shd w:val="clear"/>
              <w:jc w:val="left"/>
              <w:rPr>
                <w:rFonts w:hint="default" w:ascii="Times New Roman" w:hAnsi="Times New Roman" w:cs="Times New Roman" w:eastAsiaTheme="minorEastAsia"/>
                <w:color w:val="auto"/>
                <w:sz w:val="18"/>
                <w:szCs w:val="18"/>
                <w:highlight w:val="none"/>
              </w:rPr>
            </w:pPr>
          </w:p>
        </w:tc>
      </w:tr>
      <w:tr w14:paraId="2BFE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0" w:hRule="atLeast"/>
        </w:trPr>
        <w:tc>
          <w:tcPr>
            <w:tcW w:w="116" w:type="pct"/>
            <w:vMerge w:val="restart"/>
            <w:shd w:val="clear" w:color="auto" w:fill="auto"/>
            <w:tcMar>
              <w:top w:w="15" w:type="dxa"/>
              <w:left w:w="15" w:type="dxa"/>
              <w:right w:w="15" w:type="dxa"/>
            </w:tcMar>
            <w:vAlign w:val="center"/>
          </w:tcPr>
          <w:p w14:paraId="5841E14A">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145</w:t>
            </w:r>
          </w:p>
        </w:tc>
        <w:tc>
          <w:tcPr>
            <w:tcW w:w="411" w:type="pct"/>
            <w:gridSpan w:val="2"/>
            <w:vMerge w:val="restart"/>
            <w:shd w:val="clear" w:color="auto" w:fill="auto"/>
            <w:tcMar>
              <w:top w:w="15" w:type="dxa"/>
              <w:left w:w="15" w:type="dxa"/>
              <w:right w:w="15" w:type="dxa"/>
            </w:tcMar>
            <w:vAlign w:val="center"/>
          </w:tcPr>
          <w:p w14:paraId="1FE7407E">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未按要求免费开展入户安全检查、未建立安全检查档案或者入户安全检查弄虚作假的</w:t>
            </w:r>
          </w:p>
        </w:tc>
        <w:tc>
          <w:tcPr>
            <w:tcW w:w="1310" w:type="pct"/>
            <w:gridSpan w:val="2"/>
            <w:vMerge w:val="restart"/>
            <w:shd w:val="clear" w:color="auto" w:fill="auto"/>
            <w:tcMar>
              <w:top w:w="15" w:type="dxa"/>
              <w:left w:w="15" w:type="dxa"/>
              <w:right w:w="15" w:type="dxa"/>
            </w:tcMar>
            <w:vAlign w:val="center"/>
          </w:tcPr>
          <w:p w14:paraId="432C2E4E">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《广东省燃气管理条例》第二十二条</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燃气经营者应当对燃气用户使用的燃气计量装置、燃气管道及其附属设施、气瓶以及连接管、调压阀等配件进行入户安全检查，建立安全检查档案，档案保存时间不</w:t>
            </w:r>
            <w:r>
              <w:rPr>
                <w:rFonts w:hint="eastAsia" w:ascii="Times New Roman" w:hAnsi="Times New Roman" w:cs="Times New Roman"/>
                <w:color w:val="auto"/>
                <w:kern w:val="0"/>
                <w:sz w:val="18"/>
                <w:szCs w:val="18"/>
                <w:highlight w:val="none"/>
                <w:lang w:eastAsia="zh-CN"/>
              </w:rPr>
              <w:t>少于</w:t>
            </w:r>
            <w:r>
              <w:rPr>
                <w:rFonts w:hint="default" w:ascii="Times New Roman" w:hAnsi="Times New Roman" w:cs="Times New Roman" w:eastAsiaTheme="minorEastAsia"/>
                <w:color w:val="auto"/>
                <w:kern w:val="0"/>
                <w:sz w:val="18"/>
                <w:szCs w:val="18"/>
                <w:highlight w:val="none"/>
              </w:rPr>
              <w:t>二年。入户安全检查不得弄虚作假。</w:t>
            </w:r>
          </w:p>
          <w:p w14:paraId="32531335">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　　管道燃气经营者应当每年为燃气用户免费提供至少一次入户安全检查。入户安全检查的日期和时间段应当事先告知燃气用户，并在告知的时间内入户安全检查。管道燃气经营者因燃气用户的原因不能在告知时间内入户安全检查的，应当告知再次入户安全检查的时间；燃气用户也可以与管道燃气经营者约定再次入户安全检查时间。</w:t>
            </w:r>
          </w:p>
          <w:p w14:paraId="58155EDC">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　　瓶装燃气经营者应当每年为燃气用户免费提供至少一次入户安全检查，并在每次送气时免费提供入户安全检查。</w:t>
            </w:r>
          </w:p>
          <w:p w14:paraId="1087112C">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　　入户安全检查人员应当主动出示有关证件，燃气用户可以通过客服电话、信息网络等方式确认其身份。燃气用户应当配合入户安全检查。</w:t>
            </w:r>
          </w:p>
          <w:p w14:paraId="6D7C2234">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　　燃气经营者应当将入户安全检查结果通过书面或者信息化方式告知燃气用户。对入户安全检查发现存在安全隐患，属于燃气经营者负责的，由燃气经营者及时整改；属于燃气用户不遵守安全用气规则导致的，燃气经营者应当提醒燃气用户及时整改。燃气用户不按照要求整改可能造成安全事故的，燃气经营者应当告知燃气用户、报告燃气管理部门，并按照合同约定中止供气。燃气安全隐患消除后二十四小时内应当恢复供气。</w:t>
            </w:r>
            <w:r>
              <w:rPr>
                <w:rFonts w:hint="default" w:ascii="Times New Roman" w:hAnsi="Times New Roman" w:cs="Times New Roman" w:eastAsiaTheme="minorEastAsia"/>
                <w:color w:val="auto"/>
                <w:kern w:val="0"/>
                <w:sz w:val="18"/>
                <w:szCs w:val="18"/>
                <w:highlight w:val="none"/>
                <w:lang w:eastAsia="zh-CN"/>
              </w:rPr>
              <w:t>”</w:t>
            </w:r>
          </w:p>
        </w:tc>
        <w:tc>
          <w:tcPr>
            <w:tcW w:w="1314" w:type="pct"/>
            <w:gridSpan w:val="2"/>
            <w:vMerge w:val="restart"/>
            <w:shd w:val="clear" w:color="auto" w:fill="auto"/>
            <w:tcMar>
              <w:top w:w="15" w:type="dxa"/>
              <w:left w:w="15" w:type="dxa"/>
              <w:right w:w="15" w:type="dxa"/>
            </w:tcMar>
            <w:vAlign w:val="center"/>
          </w:tcPr>
          <w:p w14:paraId="121562FF">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《广东省燃气管理条例》第三十七条</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违反本条例第二十二条规定，未按要求免费开展入户安全检查、未建立安全检查档案或者入户安全检查弄虚作假的，由县级以上人民政府燃气管理部门责令限期改正，处一万元以上十万元以下罚款；有违法所得的，没收违法所得；情节严重的，吊销燃气经营许可证。</w:t>
            </w:r>
            <w:r>
              <w:rPr>
                <w:rFonts w:hint="default" w:ascii="Times New Roman" w:hAnsi="Times New Roman" w:cs="Times New Roman" w:eastAsiaTheme="minorEastAsia"/>
                <w:color w:val="auto"/>
                <w:kern w:val="0"/>
                <w:sz w:val="18"/>
                <w:szCs w:val="18"/>
                <w:highlight w:val="none"/>
                <w:lang w:eastAsia="zh-CN"/>
              </w:rPr>
              <w:t>”</w:t>
            </w:r>
          </w:p>
        </w:tc>
        <w:tc>
          <w:tcPr>
            <w:tcW w:w="177" w:type="pct"/>
            <w:gridSpan w:val="2"/>
            <w:shd w:val="clear" w:color="auto" w:fill="auto"/>
            <w:tcMar>
              <w:top w:w="15" w:type="dxa"/>
              <w:left w:w="15" w:type="dxa"/>
              <w:right w:w="15" w:type="dxa"/>
            </w:tcMar>
            <w:vAlign w:val="center"/>
          </w:tcPr>
          <w:p w14:paraId="5D80038B">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56D70962">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涉及</w:t>
            </w:r>
            <w:r>
              <w:rPr>
                <w:rFonts w:hint="eastAsia" w:ascii="Times New Roman" w:hAnsi="Times New Roman" w:cs="Times New Roman"/>
                <w:color w:val="auto"/>
                <w:kern w:val="0"/>
                <w:sz w:val="18"/>
                <w:szCs w:val="18"/>
                <w:highlight w:val="none"/>
                <w:lang w:val="en-US" w:eastAsia="zh-CN"/>
              </w:rPr>
              <w:t>4</w:t>
            </w:r>
            <w:r>
              <w:rPr>
                <w:rFonts w:hint="default" w:ascii="Times New Roman" w:hAnsi="Times New Roman" w:cs="Times New Roman" w:eastAsiaTheme="minorEastAsia"/>
                <w:color w:val="auto"/>
                <w:kern w:val="0"/>
                <w:sz w:val="18"/>
                <w:szCs w:val="18"/>
                <w:highlight w:val="none"/>
                <w:lang w:val="en-US" w:eastAsia="zh-CN"/>
              </w:rPr>
              <w:t>户以下燃气用户</w:t>
            </w:r>
          </w:p>
        </w:tc>
        <w:tc>
          <w:tcPr>
            <w:tcW w:w="545" w:type="pct"/>
            <w:gridSpan w:val="2"/>
            <w:shd w:val="clear" w:color="auto" w:fill="auto"/>
            <w:tcMar>
              <w:top w:w="15" w:type="dxa"/>
              <w:left w:w="15" w:type="dxa"/>
              <w:right w:w="15" w:type="dxa"/>
            </w:tcMar>
            <w:vAlign w:val="center"/>
          </w:tcPr>
          <w:p w14:paraId="4C21F40B">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1万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3.7</w:t>
            </w:r>
            <w:r>
              <w:rPr>
                <w:rFonts w:hint="default" w:ascii="Times New Roman" w:hAnsi="Times New Roman" w:cs="Times New Roman" w:eastAsiaTheme="minorEastAsia"/>
                <w:color w:val="auto"/>
                <w:kern w:val="0"/>
                <w:sz w:val="18"/>
                <w:szCs w:val="18"/>
                <w:highlight w:val="none"/>
              </w:rPr>
              <w:t>万元以下罚款；有违法所得的，没收违法所得；情节严重的，吊销燃气经营许可证</w:t>
            </w:r>
          </w:p>
        </w:tc>
        <w:tc>
          <w:tcPr>
            <w:tcW w:w="260" w:type="pct"/>
            <w:gridSpan w:val="3"/>
            <w:vMerge w:val="restart"/>
            <w:shd w:val="clear" w:color="auto" w:fill="auto"/>
            <w:tcMar>
              <w:top w:w="15" w:type="dxa"/>
              <w:left w:w="15" w:type="dxa"/>
              <w:right w:w="15" w:type="dxa"/>
            </w:tcMar>
            <w:vAlign w:val="center"/>
          </w:tcPr>
          <w:p w14:paraId="1F58A55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责令限期改正</w:t>
            </w:r>
          </w:p>
        </w:tc>
        <w:tc>
          <w:tcPr>
            <w:tcW w:w="329" w:type="pct"/>
            <w:gridSpan w:val="2"/>
            <w:vMerge w:val="restart"/>
            <w:shd w:val="clear" w:color="auto" w:fill="auto"/>
            <w:tcMar>
              <w:top w:w="15" w:type="dxa"/>
              <w:left w:w="15" w:type="dxa"/>
              <w:right w:w="15" w:type="dxa"/>
            </w:tcMar>
            <w:vAlign w:val="center"/>
          </w:tcPr>
          <w:p w14:paraId="7648E116">
            <w:pPr>
              <w:shd w:val="clear"/>
              <w:jc w:val="left"/>
              <w:rPr>
                <w:rFonts w:hint="default" w:ascii="Times New Roman" w:hAnsi="Times New Roman" w:cs="Times New Roman" w:eastAsiaTheme="minorEastAsia"/>
                <w:color w:val="auto"/>
                <w:sz w:val="18"/>
                <w:szCs w:val="18"/>
                <w:highlight w:val="none"/>
                <w:lang w:val="en-US" w:eastAsia="zh-CN"/>
              </w:rPr>
            </w:pPr>
          </w:p>
        </w:tc>
      </w:tr>
      <w:tr w14:paraId="4FBF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2393" w:hRule="atLeast"/>
        </w:trPr>
        <w:tc>
          <w:tcPr>
            <w:tcW w:w="116" w:type="pct"/>
            <w:vMerge w:val="continue"/>
            <w:shd w:val="clear" w:color="auto" w:fill="auto"/>
            <w:tcMar>
              <w:top w:w="15" w:type="dxa"/>
              <w:left w:w="15" w:type="dxa"/>
              <w:right w:w="15" w:type="dxa"/>
            </w:tcMar>
            <w:vAlign w:val="center"/>
          </w:tcPr>
          <w:p w14:paraId="38C90A54">
            <w:pPr>
              <w:widowControl/>
              <w:shd w:val="clear"/>
              <w:jc w:val="left"/>
              <w:textAlignment w:val="center"/>
              <w:rPr>
                <w:rFonts w:hint="default" w:ascii="Times New Roman" w:hAnsi="Times New Roman" w:cs="Times New Roman"/>
              </w:rPr>
            </w:pPr>
          </w:p>
        </w:tc>
        <w:tc>
          <w:tcPr>
            <w:tcW w:w="411" w:type="pct"/>
            <w:gridSpan w:val="2"/>
            <w:vMerge w:val="continue"/>
            <w:shd w:val="clear" w:color="auto" w:fill="auto"/>
            <w:tcMar>
              <w:top w:w="15" w:type="dxa"/>
              <w:left w:w="15" w:type="dxa"/>
              <w:right w:w="15" w:type="dxa"/>
            </w:tcMar>
            <w:vAlign w:val="center"/>
          </w:tcPr>
          <w:p w14:paraId="7C57601E">
            <w:pPr>
              <w:widowControl/>
              <w:shd w:val="clear"/>
              <w:jc w:val="left"/>
              <w:textAlignment w:val="center"/>
              <w:rPr>
                <w:rFonts w:hint="default" w:ascii="Times New Roman" w:hAnsi="Times New Roman" w:cs="Times New Roman"/>
              </w:rPr>
            </w:pPr>
          </w:p>
        </w:tc>
        <w:tc>
          <w:tcPr>
            <w:tcW w:w="1310" w:type="pct"/>
            <w:gridSpan w:val="2"/>
            <w:vMerge w:val="continue"/>
            <w:shd w:val="clear" w:color="auto" w:fill="auto"/>
            <w:tcMar>
              <w:top w:w="15" w:type="dxa"/>
              <w:left w:w="15" w:type="dxa"/>
              <w:right w:w="15" w:type="dxa"/>
            </w:tcMar>
            <w:vAlign w:val="center"/>
          </w:tcPr>
          <w:p w14:paraId="6F50D834">
            <w:pPr>
              <w:widowControl/>
              <w:shd w:val="clear"/>
              <w:jc w:val="left"/>
              <w:textAlignment w:val="center"/>
              <w:rPr>
                <w:rFonts w:hint="default" w:ascii="Times New Roman" w:hAnsi="Times New Roman" w:cs="Times New Roman"/>
              </w:rPr>
            </w:pPr>
          </w:p>
        </w:tc>
        <w:tc>
          <w:tcPr>
            <w:tcW w:w="1314" w:type="pct"/>
            <w:gridSpan w:val="2"/>
            <w:vMerge w:val="continue"/>
            <w:shd w:val="clear" w:color="auto" w:fill="auto"/>
            <w:tcMar>
              <w:top w:w="15" w:type="dxa"/>
              <w:left w:w="15" w:type="dxa"/>
              <w:right w:w="15" w:type="dxa"/>
            </w:tcMar>
            <w:vAlign w:val="center"/>
          </w:tcPr>
          <w:p w14:paraId="00A22107">
            <w:pPr>
              <w:widowControl/>
              <w:shd w:val="clear"/>
              <w:jc w:val="left"/>
              <w:textAlignment w:val="center"/>
              <w:rPr>
                <w:rFonts w:hint="default" w:ascii="Times New Roman" w:hAnsi="Times New Roman" w:cs="Times New Roman"/>
              </w:rPr>
            </w:pPr>
          </w:p>
        </w:tc>
        <w:tc>
          <w:tcPr>
            <w:tcW w:w="177" w:type="pct"/>
            <w:gridSpan w:val="2"/>
            <w:shd w:val="clear" w:color="auto" w:fill="auto"/>
            <w:tcMar>
              <w:top w:w="15" w:type="dxa"/>
              <w:left w:w="15" w:type="dxa"/>
              <w:right w:w="15" w:type="dxa"/>
            </w:tcMar>
            <w:vAlign w:val="center"/>
          </w:tcPr>
          <w:p w14:paraId="22208C09">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tcMar>
              <w:top w:w="15" w:type="dxa"/>
              <w:left w:w="15" w:type="dxa"/>
              <w:right w:w="15" w:type="dxa"/>
            </w:tcMar>
            <w:vAlign w:val="center"/>
          </w:tcPr>
          <w:p w14:paraId="1315D8E4">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涉及</w:t>
            </w:r>
            <w:r>
              <w:rPr>
                <w:rFonts w:hint="eastAsia" w:ascii="Times New Roman" w:hAnsi="Times New Roman" w:cs="Times New Roman"/>
                <w:color w:val="auto"/>
                <w:kern w:val="0"/>
                <w:sz w:val="18"/>
                <w:szCs w:val="18"/>
                <w:highlight w:val="none"/>
                <w:lang w:val="en-US" w:eastAsia="zh-CN"/>
              </w:rPr>
              <w:t>4</w:t>
            </w:r>
            <w:r>
              <w:rPr>
                <w:rFonts w:hint="default" w:ascii="Times New Roman" w:hAnsi="Times New Roman" w:cs="Times New Roman" w:eastAsiaTheme="minorEastAsia"/>
                <w:color w:val="auto"/>
                <w:kern w:val="0"/>
                <w:sz w:val="18"/>
                <w:szCs w:val="18"/>
                <w:highlight w:val="none"/>
                <w:lang w:val="en-US" w:eastAsia="zh-CN"/>
              </w:rPr>
              <w:t>户以上8户以下燃气用户</w:t>
            </w:r>
          </w:p>
          <w:p w14:paraId="70CF521B">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545" w:type="pct"/>
            <w:gridSpan w:val="2"/>
            <w:shd w:val="clear" w:color="auto" w:fill="auto"/>
            <w:tcMar>
              <w:top w:w="15" w:type="dxa"/>
              <w:left w:w="15" w:type="dxa"/>
              <w:right w:w="15" w:type="dxa"/>
            </w:tcMar>
            <w:vAlign w:val="center"/>
          </w:tcPr>
          <w:p w14:paraId="72420BD6">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3.7万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7.3</w:t>
            </w:r>
            <w:r>
              <w:rPr>
                <w:rFonts w:hint="default" w:ascii="Times New Roman" w:hAnsi="Times New Roman" w:cs="Times New Roman" w:eastAsiaTheme="minorEastAsia"/>
                <w:color w:val="auto"/>
                <w:kern w:val="0"/>
                <w:sz w:val="18"/>
                <w:szCs w:val="18"/>
                <w:highlight w:val="none"/>
              </w:rPr>
              <w:t>万元以下罚款；有违法所得的，没收违法所得；情节严重的，吊销燃气经营许可证</w:t>
            </w:r>
          </w:p>
        </w:tc>
        <w:tc>
          <w:tcPr>
            <w:tcW w:w="260" w:type="pct"/>
            <w:gridSpan w:val="3"/>
            <w:vMerge w:val="continue"/>
            <w:shd w:val="clear" w:color="auto" w:fill="auto"/>
            <w:tcMar>
              <w:top w:w="15" w:type="dxa"/>
              <w:left w:w="15" w:type="dxa"/>
              <w:right w:w="15" w:type="dxa"/>
            </w:tcMar>
            <w:vAlign w:val="center"/>
          </w:tcPr>
          <w:p w14:paraId="41FE80EB">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329" w:type="pct"/>
            <w:gridSpan w:val="2"/>
            <w:vMerge w:val="continue"/>
            <w:shd w:val="clear" w:color="auto" w:fill="auto"/>
            <w:tcMar>
              <w:top w:w="15" w:type="dxa"/>
              <w:left w:w="15" w:type="dxa"/>
              <w:right w:w="15" w:type="dxa"/>
            </w:tcMar>
            <w:vAlign w:val="center"/>
          </w:tcPr>
          <w:p w14:paraId="3AAE820C">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r>
      <w:tr w14:paraId="2783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2393" w:hRule="atLeast"/>
        </w:trPr>
        <w:tc>
          <w:tcPr>
            <w:tcW w:w="116" w:type="pct"/>
            <w:vMerge w:val="continue"/>
            <w:shd w:val="clear" w:color="auto" w:fill="auto"/>
            <w:tcMar>
              <w:top w:w="15" w:type="dxa"/>
              <w:left w:w="15" w:type="dxa"/>
              <w:right w:w="15" w:type="dxa"/>
            </w:tcMar>
            <w:vAlign w:val="center"/>
          </w:tcPr>
          <w:p w14:paraId="1BE118FF">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411" w:type="pct"/>
            <w:gridSpan w:val="2"/>
            <w:vMerge w:val="continue"/>
            <w:shd w:val="clear" w:color="auto" w:fill="auto"/>
            <w:tcMar>
              <w:top w:w="15" w:type="dxa"/>
              <w:left w:w="15" w:type="dxa"/>
              <w:right w:w="15" w:type="dxa"/>
            </w:tcMar>
            <w:vAlign w:val="center"/>
          </w:tcPr>
          <w:p w14:paraId="18E18A52">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1310" w:type="pct"/>
            <w:gridSpan w:val="2"/>
            <w:vMerge w:val="continue"/>
            <w:shd w:val="clear" w:color="auto" w:fill="auto"/>
            <w:tcMar>
              <w:top w:w="15" w:type="dxa"/>
              <w:left w:w="15" w:type="dxa"/>
              <w:right w:w="15" w:type="dxa"/>
            </w:tcMar>
            <w:vAlign w:val="center"/>
          </w:tcPr>
          <w:p w14:paraId="6753A374">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1314" w:type="pct"/>
            <w:gridSpan w:val="2"/>
            <w:vMerge w:val="continue"/>
            <w:shd w:val="clear" w:color="auto" w:fill="auto"/>
            <w:tcMar>
              <w:top w:w="15" w:type="dxa"/>
              <w:left w:w="15" w:type="dxa"/>
              <w:right w:w="15" w:type="dxa"/>
            </w:tcMar>
            <w:vAlign w:val="center"/>
          </w:tcPr>
          <w:p w14:paraId="5D2F17E8">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177" w:type="pct"/>
            <w:gridSpan w:val="2"/>
            <w:shd w:val="clear" w:color="auto" w:fill="auto"/>
            <w:tcMar>
              <w:top w:w="15" w:type="dxa"/>
              <w:left w:w="15" w:type="dxa"/>
              <w:right w:w="15" w:type="dxa"/>
            </w:tcMar>
            <w:vAlign w:val="center"/>
          </w:tcPr>
          <w:p w14:paraId="06A48CAC">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024756A3">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涉及</w:t>
            </w:r>
            <w:r>
              <w:rPr>
                <w:rFonts w:hint="default" w:ascii="Times New Roman" w:hAnsi="Times New Roman" w:cs="Times New Roman" w:eastAsiaTheme="minorEastAsia"/>
                <w:color w:val="auto"/>
                <w:kern w:val="0"/>
                <w:sz w:val="18"/>
                <w:szCs w:val="18"/>
                <w:highlight w:val="none"/>
                <w:lang w:val="en-US" w:eastAsia="zh-CN"/>
              </w:rPr>
              <w:t>8户以上燃气用户</w:t>
            </w:r>
          </w:p>
          <w:p w14:paraId="67B56289">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545" w:type="pct"/>
            <w:gridSpan w:val="2"/>
            <w:shd w:val="clear" w:color="auto" w:fill="auto"/>
            <w:tcMar>
              <w:top w:w="15" w:type="dxa"/>
              <w:left w:w="15" w:type="dxa"/>
              <w:right w:w="15" w:type="dxa"/>
            </w:tcMar>
            <w:vAlign w:val="center"/>
          </w:tcPr>
          <w:p w14:paraId="37563106">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7.3万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10</w:t>
            </w:r>
            <w:r>
              <w:rPr>
                <w:rFonts w:hint="default" w:ascii="Times New Roman" w:hAnsi="Times New Roman" w:cs="Times New Roman" w:eastAsiaTheme="minorEastAsia"/>
                <w:color w:val="auto"/>
                <w:kern w:val="0"/>
                <w:sz w:val="18"/>
                <w:szCs w:val="18"/>
                <w:highlight w:val="none"/>
              </w:rPr>
              <w:t>万元以下罚款；有违法所得的，没收违法所得；情节严重的，吊销燃气经营许可证</w:t>
            </w:r>
          </w:p>
        </w:tc>
        <w:tc>
          <w:tcPr>
            <w:tcW w:w="260" w:type="pct"/>
            <w:gridSpan w:val="3"/>
            <w:vMerge w:val="continue"/>
            <w:shd w:val="clear" w:color="auto" w:fill="auto"/>
            <w:tcMar>
              <w:top w:w="15" w:type="dxa"/>
              <w:left w:w="15" w:type="dxa"/>
              <w:right w:w="15" w:type="dxa"/>
            </w:tcMar>
            <w:vAlign w:val="center"/>
          </w:tcPr>
          <w:p w14:paraId="48AF925E">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329" w:type="pct"/>
            <w:gridSpan w:val="2"/>
            <w:vMerge w:val="continue"/>
            <w:shd w:val="clear" w:color="auto" w:fill="auto"/>
            <w:tcMar>
              <w:top w:w="15" w:type="dxa"/>
              <w:left w:w="15" w:type="dxa"/>
              <w:right w:w="15" w:type="dxa"/>
            </w:tcMar>
            <w:vAlign w:val="center"/>
          </w:tcPr>
          <w:p w14:paraId="7398EE6C">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r>
      <w:tr w14:paraId="1B6C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63" w:hRule="atLeast"/>
        </w:trPr>
        <w:tc>
          <w:tcPr>
            <w:tcW w:w="116" w:type="pct"/>
            <w:vMerge w:val="restart"/>
            <w:shd w:val="clear" w:color="auto" w:fill="auto"/>
            <w:tcMar>
              <w:top w:w="15" w:type="dxa"/>
              <w:left w:w="15" w:type="dxa"/>
              <w:right w:w="15" w:type="dxa"/>
            </w:tcMar>
            <w:vAlign w:val="center"/>
          </w:tcPr>
          <w:p w14:paraId="2DF24AB3">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146</w:t>
            </w:r>
          </w:p>
        </w:tc>
        <w:tc>
          <w:tcPr>
            <w:tcW w:w="411" w:type="pct"/>
            <w:gridSpan w:val="2"/>
            <w:vMerge w:val="restart"/>
            <w:shd w:val="clear" w:color="auto" w:fill="auto"/>
            <w:tcMar>
              <w:top w:w="15" w:type="dxa"/>
              <w:left w:w="15" w:type="dxa"/>
              <w:right w:w="15" w:type="dxa"/>
            </w:tcMar>
            <w:vAlign w:val="center"/>
          </w:tcPr>
          <w:p w14:paraId="395B95DD">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未公布服务电话、抢险抢修电话或者未设专人每日二十四小时值班的</w:t>
            </w:r>
          </w:p>
        </w:tc>
        <w:tc>
          <w:tcPr>
            <w:tcW w:w="1310" w:type="pct"/>
            <w:gridSpan w:val="2"/>
            <w:vMerge w:val="restart"/>
            <w:shd w:val="clear" w:color="auto" w:fill="auto"/>
            <w:tcMar>
              <w:top w:w="15" w:type="dxa"/>
              <w:left w:w="15" w:type="dxa"/>
              <w:right w:w="15" w:type="dxa"/>
            </w:tcMar>
            <w:vAlign w:val="center"/>
          </w:tcPr>
          <w:p w14:paraId="6CF5A7CA">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《广东省燃气管理条例》第二十三条</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燃气经营者应当设置并向社会公布服务电话和抢险抢修电话，设专人每日二十四小时值班。</w:t>
            </w:r>
          </w:p>
          <w:p w14:paraId="3B4928E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　　燃气经营者接到燃气用户报修后，应当按照承诺的时限或者与燃气用户约定的时间派人到现场服务。燃气经营者对涉及燃气泄漏等事故安全隐患的报修，应当立即告知燃气用户需要采取的应急措施，并立即派人到现场抢险抢修。燃气用户应当按照要求立即采取应急措施。</w:t>
            </w:r>
            <w:r>
              <w:rPr>
                <w:rFonts w:hint="default" w:ascii="Times New Roman" w:hAnsi="Times New Roman" w:cs="Times New Roman" w:eastAsiaTheme="minorEastAsia"/>
                <w:color w:val="auto"/>
                <w:kern w:val="0"/>
                <w:sz w:val="18"/>
                <w:szCs w:val="18"/>
                <w:highlight w:val="none"/>
                <w:lang w:eastAsia="zh-CN"/>
              </w:rPr>
              <w:t>”</w:t>
            </w:r>
          </w:p>
        </w:tc>
        <w:tc>
          <w:tcPr>
            <w:tcW w:w="1314" w:type="pct"/>
            <w:gridSpan w:val="2"/>
            <w:vMerge w:val="restart"/>
            <w:shd w:val="clear" w:color="auto" w:fill="auto"/>
            <w:tcMar>
              <w:top w:w="15" w:type="dxa"/>
              <w:left w:w="15" w:type="dxa"/>
              <w:right w:w="15" w:type="dxa"/>
            </w:tcMar>
            <w:vAlign w:val="center"/>
          </w:tcPr>
          <w:p w14:paraId="1B6BC2F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《广东省燃气管理条例》第三十八条</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违反本条例第二十三条规定，未公布服务电话、抢险抢修电话或者未设专人每日二十四小时值班的，由县级以上人民政府燃气管理部门责令限期改正，可以处三万元以下的罚款。</w:t>
            </w:r>
            <w:r>
              <w:rPr>
                <w:rFonts w:hint="default" w:ascii="Times New Roman" w:hAnsi="Times New Roman" w:cs="Times New Roman" w:eastAsiaTheme="minorEastAsia"/>
                <w:color w:val="auto"/>
                <w:kern w:val="0"/>
                <w:sz w:val="18"/>
                <w:szCs w:val="18"/>
                <w:highlight w:val="none"/>
                <w:lang w:eastAsia="zh-CN"/>
              </w:rPr>
              <w:t>”</w:t>
            </w:r>
          </w:p>
        </w:tc>
        <w:tc>
          <w:tcPr>
            <w:tcW w:w="177" w:type="pct"/>
            <w:gridSpan w:val="2"/>
            <w:shd w:val="clear" w:color="auto" w:fill="auto"/>
            <w:tcMar>
              <w:top w:w="15" w:type="dxa"/>
              <w:left w:w="15" w:type="dxa"/>
              <w:right w:w="15" w:type="dxa"/>
            </w:tcMar>
            <w:vAlign w:val="center"/>
          </w:tcPr>
          <w:p w14:paraId="74671B3F">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tcMar>
              <w:top w:w="15" w:type="dxa"/>
              <w:left w:w="15" w:type="dxa"/>
              <w:right w:w="15" w:type="dxa"/>
            </w:tcMar>
            <w:vAlign w:val="center"/>
          </w:tcPr>
          <w:p w14:paraId="3230CE8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未公布服务电话、抢险抢修电话或</w:t>
            </w:r>
            <w:r>
              <w:rPr>
                <w:rFonts w:hint="default" w:ascii="Times New Roman" w:hAnsi="Times New Roman" w:cs="Times New Roman" w:eastAsiaTheme="minorEastAsia"/>
                <w:color w:val="auto"/>
                <w:kern w:val="0"/>
                <w:sz w:val="18"/>
                <w:szCs w:val="18"/>
                <w:highlight w:val="none"/>
                <w:lang w:eastAsia="zh-CN"/>
              </w:rPr>
              <w:t>未</w:t>
            </w:r>
            <w:r>
              <w:rPr>
                <w:rFonts w:hint="default" w:ascii="Times New Roman" w:hAnsi="Times New Roman" w:cs="Times New Roman" w:eastAsiaTheme="minorEastAsia"/>
                <w:color w:val="auto"/>
                <w:kern w:val="0"/>
                <w:sz w:val="18"/>
                <w:szCs w:val="18"/>
                <w:highlight w:val="none"/>
              </w:rPr>
              <w:t>设专人值班</w:t>
            </w:r>
            <w:r>
              <w:rPr>
                <w:rFonts w:hint="eastAsia" w:ascii="Times New Roman" w:hAnsi="Times New Roman" w:cs="Times New Roman"/>
                <w:color w:val="auto"/>
                <w:kern w:val="0"/>
                <w:sz w:val="18"/>
                <w:szCs w:val="18"/>
                <w:highlight w:val="none"/>
                <w:lang w:val="en-US" w:eastAsia="zh-CN"/>
              </w:rPr>
              <w:t>1</w:t>
            </w:r>
            <w:r>
              <w:rPr>
                <w:rFonts w:hint="eastAsia" w:ascii="Times New Roman" w:hAnsi="Times New Roman" w:cs="Times New Roman"/>
                <w:color w:val="auto"/>
                <w:kern w:val="0"/>
                <w:sz w:val="18"/>
                <w:szCs w:val="18"/>
                <w:highlight w:val="none"/>
                <w:lang w:eastAsia="zh-CN"/>
              </w:rPr>
              <w:t>次</w:t>
            </w:r>
          </w:p>
        </w:tc>
        <w:tc>
          <w:tcPr>
            <w:tcW w:w="545" w:type="pct"/>
            <w:gridSpan w:val="2"/>
            <w:shd w:val="clear" w:color="auto" w:fill="auto"/>
            <w:tcMar>
              <w:top w:w="15" w:type="dxa"/>
              <w:left w:w="15" w:type="dxa"/>
              <w:right w:w="15" w:type="dxa"/>
            </w:tcMar>
            <w:vAlign w:val="center"/>
          </w:tcPr>
          <w:p w14:paraId="3304D3CF">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可以处</w:t>
            </w:r>
            <w:r>
              <w:rPr>
                <w:rFonts w:hint="default" w:ascii="Times New Roman" w:hAnsi="Times New Roman" w:cs="Times New Roman" w:eastAsiaTheme="minorEastAsia"/>
                <w:color w:val="auto"/>
                <w:kern w:val="0"/>
                <w:sz w:val="18"/>
                <w:szCs w:val="18"/>
                <w:highlight w:val="none"/>
                <w:lang w:val="en-US" w:eastAsia="zh-CN"/>
              </w:rPr>
              <w:t>9000元</w:t>
            </w:r>
            <w:r>
              <w:rPr>
                <w:rFonts w:hint="default" w:ascii="Times New Roman" w:hAnsi="Times New Roman" w:cs="Times New Roman" w:eastAsiaTheme="minorEastAsia"/>
                <w:color w:val="auto"/>
                <w:kern w:val="0"/>
                <w:sz w:val="18"/>
                <w:szCs w:val="18"/>
                <w:highlight w:val="none"/>
              </w:rPr>
              <w:t>以下的罚款</w:t>
            </w:r>
          </w:p>
        </w:tc>
        <w:tc>
          <w:tcPr>
            <w:tcW w:w="260" w:type="pct"/>
            <w:gridSpan w:val="3"/>
            <w:vMerge w:val="restart"/>
            <w:shd w:val="clear" w:color="auto" w:fill="auto"/>
            <w:tcMar>
              <w:top w:w="15" w:type="dxa"/>
              <w:left w:w="15" w:type="dxa"/>
              <w:right w:w="15" w:type="dxa"/>
            </w:tcMar>
            <w:vAlign w:val="center"/>
          </w:tcPr>
          <w:p w14:paraId="45BD1967">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责令限期改正</w:t>
            </w:r>
          </w:p>
          <w:p w14:paraId="1EC40FF8">
            <w:pPr>
              <w:widowControl/>
              <w:shd w:val="clear"/>
              <w:jc w:val="left"/>
              <w:textAlignment w:val="center"/>
              <w:rPr>
                <w:rFonts w:hint="default" w:ascii="Times New Roman" w:hAnsi="Times New Roman" w:cs="Times New Roman" w:eastAsiaTheme="minorEastAsia"/>
                <w:color w:val="auto"/>
                <w:sz w:val="18"/>
                <w:szCs w:val="18"/>
                <w:highlight w:val="none"/>
              </w:rPr>
            </w:pPr>
          </w:p>
          <w:p w14:paraId="0419BF09">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tcMar>
              <w:top w:w="15" w:type="dxa"/>
              <w:left w:w="15" w:type="dxa"/>
              <w:right w:w="15" w:type="dxa"/>
            </w:tcMar>
            <w:vAlign w:val="center"/>
          </w:tcPr>
          <w:p w14:paraId="0CCC1795">
            <w:pPr>
              <w:shd w:val="clear"/>
              <w:jc w:val="left"/>
              <w:rPr>
                <w:rFonts w:hint="default" w:ascii="Times New Roman" w:hAnsi="Times New Roman" w:cs="Times New Roman" w:eastAsiaTheme="minorEastAsia"/>
                <w:color w:val="auto"/>
                <w:sz w:val="18"/>
                <w:szCs w:val="18"/>
                <w:highlight w:val="none"/>
                <w:lang w:val="en-US" w:eastAsia="zh-CN"/>
              </w:rPr>
            </w:pPr>
          </w:p>
        </w:tc>
      </w:tr>
      <w:tr w14:paraId="5325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40" w:hRule="atLeast"/>
        </w:trPr>
        <w:tc>
          <w:tcPr>
            <w:tcW w:w="116" w:type="pct"/>
            <w:vMerge w:val="continue"/>
            <w:shd w:val="clear" w:color="auto" w:fill="auto"/>
            <w:tcMar>
              <w:top w:w="15" w:type="dxa"/>
              <w:left w:w="15" w:type="dxa"/>
              <w:right w:w="15" w:type="dxa"/>
            </w:tcMar>
            <w:vAlign w:val="center"/>
          </w:tcPr>
          <w:p w14:paraId="5D0443D6">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5E3B1E31">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238FB096">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11096B55">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790F362A">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tcMar>
              <w:top w:w="15" w:type="dxa"/>
              <w:left w:w="15" w:type="dxa"/>
              <w:right w:w="15" w:type="dxa"/>
            </w:tcMar>
            <w:vAlign w:val="center"/>
          </w:tcPr>
          <w:p w14:paraId="3445A833">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未公布服务电话、抢险抢修电话或</w:t>
            </w:r>
            <w:r>
              <w:rPr>
                <w:rFonts w:hint="default" w:ascii="Times New Roman" w:hAnsi="Times New Roman" w:cs="Times New Roman" w:eastAsiaTheme="minorEastAsia"/>
                <w:color w:val="auto"/>
                <w:kern w:val="0"/>
                <w:sz w:val="18"/>
                <w:szCs w:val="18"/>
                <w:highlight w:val="none"/>
                <w:lang w:eastAsia="zh-CN"/>
              </w:rPr>
              <w:t>未</w:t>
            </w:r>
            <w:r>
              <w:rPr>
                <w:rFonts w:hint="default" w:ascii="Times New Roman" w:hAnsi="Times New Roman" w:cs="Times New Roman" w:eastAsiaTheme="minorEastAsia"/>
                <w:color w:val="auto"/>
                <w:kern w:val="0"/>
                <w:sz w:val="18"/>
                <w:szCs w:val="18"/>
                <w:highlight w:val="none"/>
              </w:rPr>
              <w:t>设专人值班</w:t>
            </w:r>
            <w:r>
              <w:rPr>
                <w:rFonts w:hint="eastAsia" w:ascii="Times New Roman" w:hAnsi="Times New Roman" w:cs="Times New Roman"/>
                <w:color w:val="auto"/>
                <w:kern w:val="0"/>
                <w:sz w:val="18"/>
                <w:szCs w:val="18"/>
                <w:highlight w:val="none"/>
                <w:lang w:val="en-US" w:eastAsia="zh-CN"/>
              </w:rPr>
              <w:t>2次</w:t>
            </w:r>
          </w:p>
        </w:tc>
        <w:tc>
          <w:tcPr>
            <w:tcW w:w="545" w:type="pct"/>
            <w:gridSpan w:val="2"/>
            <w:shd w:val="clear" w:color="auto" w:fill="auto"/>
            <w:tcMar>
              <w:top w:w="15" w:type="dxa"/>
              <w:left w:w="15" w:type="dxa"/>
              <w:right w:w="15" w:type="dxa"/>
            </w:tcMar>
            <w:vAlign w:val="center"/>
          </w:tcPr>
          <w:p w14:paraId="1AA1FD07">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可以处</w:t>
            </w:r>
            <w:r>
              <w:rPr>
                <w:rFonts w:hint="default" w:ascii="Times New Roman" w:hAnsi="Times New Roman" w:cs="Times New Roman" w:eastAsiaTheme="minorEastAsia"/>
                <w:color w:val="auto"/>
                <w:kern w:val="0"/>
                <w:sz w:val="18"/>
                <w:szCs w:val="18"/>
                <w:highlight w:val="none"/>
                <w:lang w:val="en-US" w:eastAsia="zh-CN"/>
              </w:rPr>
              <w:t>9000</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2.1</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3BB82546">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40A164BE">
            <w:pPr>
              <w:shd w:val="clear"/>
              <w:jc w:val="left"/>
              <w:rPr>
                <w:rFonts w:hint="default" w:ascii="Times New Roman" w:hAnsi="Times New Roman" w:cs="Times New Roman" w:eastAsiaTheme="minorEastAsia"/>
                <w:color w:val="auto"/>
                <w:sz w:val="18"/>
                <w:szCs w:val="18"/>
                <w:highlight w:val="none"/>
              </w:rPr>
            </w:pPr>
          </w:p>
        </w:tc>
      </w:tr>
      <w:tr w14:paraId="2C25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63" w:hRule="atLeast"/>
        </w:trPr>
        <w:tc>
          <w:tcPr>
            <w:tcW w:w="116" w:type="pct"/>
            <w:vMerge w:val="continue"/>
            <w:shd w:val="clear" w:color="auto" w:fill="auto"/>
            <w:tcMar>
              <w:top w:w="15" w:type="dxa"/>
              <w:left w:w="15" w:type="dxa"/>
              <w:right w:w="15" w:type="dxa"/>
            </w:tcMar>
            <w:vAlign w:val="center"/>
          </w:tcPr>
          <w:p w14:paraId="026AE475">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tcMar>
              <w:top w:w="15" w:type="dxa"/>
              <w:left w:w="15" w:type="dxa"/>
              <w:right w:w="15" w:type="dxa"/>
            </w:tcMar>
            <w:vAlign w:val="center"/>
          </w:tcPr>
          <w:p w14:paraId="49A33E85">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tcMar>
              <w:top w:w="15" w:type="dxa"/>
              <w:left w:w="15" w:type="dxa"/>
              <w:right w:w="15" w:type="dxa"/>
            </w:tcMar>
            <w:vAlign w:val="center"/>
          </w:tcPr>
          <w:p w14:paraId="004EB491">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tcMar>
              <w:top w:w="15" w:type="dxa"/>
              <w:left w:w="15" w:type="dxa"/>
              <w:right w:w="15" w:type="dxa"/>
            </w:tcMar>
            <w:vAlign w:val="center"/>
          </w:tcPr>
          <w:p w14:paraId="334509B5">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tcMar>
              <w:top w:w="15" w:type="dxa"/>
              <w:left w:w="15" w:type="dxa"/>
              <w:right w:w="15" w:type="dxa"/>
            </w:tcMar>
            <w:vAlign w:val="center"/>
          </w:tcPr>
          <w:p w14:paraId="277A3014">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tcMar>
              <w:top w:w="15" w:type="dxa"/>
              <w:left w:w="15" w:type="dxa"/>
              <w:right w:w="15" w:type="dxa"/>
            </w:tcMar>
            <w:vAlign w:val="center"/>
          </w:tcPr>
          <w:p w14:paraId="35C35C9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未公布服务电话、抢险抢修电话或</w:t>
            </w:r>
            <w:r>
              <w:rPr>
                <w:rFonts w:hint="default" w:ascii="Times New Roman" w:hAnsi="Times New Roman" w:cs="Times New Roman" w:eastAsiaTheme="minorEastAsia"/>
                <w:color w:val="auto"/>
                <w:kern w:val="0"/>
                <w:sz w:val="18"/>
                <w:szCs w:val="18"/>
                <w:highlight w:val="none"/>
                <w:lang w:eastAsia="zh-CN"/>
              </w:rPr>
              <w:t>未</w:t>
            </w:r>
            <w:r>
              <w:rPr>
                <w:rFonts w:hint="default" w:ascii="Times New Roman" w:hAnsi="Times New Roman" w:cs="Times New Roman" w:eastAsiaTheme="minorEastAsia"/>
                <w:color w:val="auto"/>
                <w:kern w:val="0"/>
                <w:sz w:val="18"/>
                <w:szCs w:val="18"/>
                <w:highlight w:val="none"/>
              </w:rPr>
              <w:t>设专人值班</w:t>
            </w:r>
            <w:r>
              <w:rPr>
                <w:rFonts w:hint="eastAsia" w:ascii="Times New Roman" w:hAnsi="Times New Roman" w:cs="Times New Roman"/>
                <w:color w:val="auto"/>
                <w:kern w:val="0"/>
                <w:sz w:val="18"/>
                <w:szCs w:val="18"/>
                <w:highlight w:val="none"/>
                <w:lang w:val="en-US" w:eastAsia="zh-CN"/>
              </w:rPr>
              <w:t>3次以上</w:t>
            </w:r>
          </w:p>
        </w:tc>
        <w:tc>
          <w:tcPr>
            <w:tcW w:w="545" w:type="pct"/>
            <w:gridSpan w:val="2"/>
            <w:shd w:val="clear" w:color="auto" w:fill="auto"/>
            <w:tcMar>
              <w:top w:w="15" w:type="dxa"/>
              <w:left w:w="15" w:type="dxa"/>
              <w:right w:w="15" w:type="dxa"/>
            </w:tcMar>
            <w:vAlign w:val="center"/>
          </w:tcPr>
          <w:p w14:paraId="09307EC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lang w:eastAsia="zh-CN"/>
              </w:rPr>
              <w:t>可以处</w:t>
            </w:r>
            <w:r>
              <w:rPr>
                <w:rFonts w:hint="default" w:ascii="Times New Roman" w:hAnsi="Times New Roman" w:cs="Times New Roman" w:eastAsiaTheme="minorEastAsia"/>
                <w:color w:val="auto"/>
                <w:kern w:val="0"/>
                <w:sz w:val="18"/>
                <w:szCs w:val="18"/>
                <w:highlight w:val="none"/>
                <w:lang w:val="en-US" w:eastAsia="zh-CN"/>
              </w:rPr>
              <w:t>2.1</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3万</w:t>
            </w:r>
            <w:r>
              <w:rPr>
                <w:rFonts w:hint="default" w:ascii="Times New Roman" w:hAnsi="Times New Roman" w:cs="Times New Roman" w:eastAsiaTheme="minorEastAsia"/>
                <w:color w:val="auto"/>
                <w:kern w:val="0"/>
                <w:sz w:val="18"/>
                <w:szCs w:val="18"/>
                <w:highlight w:val="none"/>
              </w:rPr>
              <w:t>元以下的罚款</w:t>
            </w:r>
          </w:p>
        </w:tc>
        <w:tc>
          <w:tcPr>
            <w:tcW w:w="260" w:type="pct"/>
            <w:gridSpan w:val="3"/>
            <w:vMerge w:val="continue"/>
            <w:shd w:val="clear" w:color="auto" w:fill="auto"/>
            <w:tcMar>
              <w:top w:w="15" w:type="dxa"/>
              <w:left w:w="15" w:type="dxa"/>
              <w:right w:w="15" w:type="dxa"/>
            </w:tcMar>
            <w:vAlign w:val="center"/>
          </w:tcPr>
          <w:p w14:paraId="4E1AE2B4">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tcMar>
              <w:top w:w="15" w:type="dxa"/>
              <w:left w:w="15" w:type="dxa"/>
              <w:right w:w="15" w:type="dxa"/>
            </w:tcMar>
            <w:vAlign w:val="center"/>
          </w:tcPr>
          <w:p w14:paraId="415385E1">
            <w:pPr>
              <w:shd w:val="clear"/>
              <w:jc w:val="left"/>
              <w:rPr>
                <w:rFonts w:hint="default" w:ascii="Times New Roman" w:hAnsi="Times New Roman" w:cs="Times New Roman" w:eastAsiaTheme="minorEastAsia"/>
                <w:color w:val="auto"/>
                <w:sz w:val="18"/>
                <w:szCs w:val="18"/>
                <w:highlight w:val="none"/>
              </w:rPr>
            </w:pPr>
          </w:p>
        </w:tc>
      </w:tr>
      <w:tr w14:paraId="3673B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828" w:hRule="atLeast"/>
        </w:trPr>
        <w:tc>
          <w:tcPr>
            <w:tcW w:w="116" w:type="pct"/>
            <w:vMerge w:val="restart"/>
            <w:shd w:val="clear" w:color="auto" w:fill="auto"/>
            <w:vAlign w:val="center"/>
          </w:tcPr>
          <w:p w14:paraId="7FB6809C">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147</w:t>
            </w:r>
          </w:p>
        </w:tc>
        <w:tc>
          <w:tcPr>
            <w:tcW w:w="411" w:type="pct"/>
            <w:gridSpan w:val="2"/>
            <w:vMerge w:val="restart"/>
            <w:shd w:val="clear" w:color="auto" w:fill="auto"/>
            <w:vAlign w:val="center"/>
          </w:tcPr>
          <w:p w14:paraId="70670160">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生产经营单位未安装可燃气体报警装置的</w:t>
            </w:r>
          </w:p>
        </w:tc>
        <w:tc>
          <w:tcPr>
            <w:tcW w:w="1310" w:type="pct"/>
            <w:gridSpan w:val="2"/>
            <w:vMerge w:val="restart"/>
            <w:shd w:val="clear" w:color="auto" w:fill="auto"/>
            <w:vAlign w:val="center"/>
          </w:tcPr>
          <w:p w14:paraId="487F14EE">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《广东省燃气管理条例》第二十七条</w:t>
            </w:r>
            <w:r>
              <w:rPr>
                <w:rFonts w:hint="default" w:ascii="Times New Roman" w:hAnsi="Times New Roman" w:cs="Times New Roman" w:eastAsiaTheme="minorEastAsia"/>
                <w:color w:val="auto"/>
                <w:kern w:val="0"/>
                <w:sz w:val="18"/>
                <w:szCs w:val="18"/>
                <w:highlight w:val="none"/>
                <w:lang w:eastAsia="zh-CN"/>
              </w:rPr>
              <w:t>第一款：“</w:t>
            </w:r>
            <w:r>
              <w:rPr>
                <w:rFonts w:hint="default" w:ascii="Times New Roman" w:hAnsi="Times New Roman" w:cs="Times New Roman" w:eastAsiaTheme="minorEastAsia"/>
                <w:color w:val="auto"/>
                <w:kern w:val="0"/>
                <w:sz w:val="18"/>
                <w:szCs w:val="18"/>
                <w:highlight w:val="none"/>
              </w:rPr>
              <w:t>有下列情形之一的，燃气用户应当安装可燃气体报警装置，并保障其正常使用：（一）属于餐饮等行业的生产经营单位的；（二）在符合用气条件的地下室、半地下室或通风不良场所使用管道燃气的（三）其他在人员聚集的室内公共场所长期使用燃气的。</w:t>
            </w:r>
            <w:r>
              <w:rPr>
                <w:rFonts w:hint="default" w:ascii="Times New Roman" w:hAnsi="Times New Roman" w:cs="Times New Roman" w:eastAsiaTheme="minorEastAsia"/>
                <w:color w:val="auto"/>
                <w:kern w:val="0"/>
                <w:sz w:val="18"/>
                <w:szCs w:val="18"/>
                <w:highlight w:val="none"/>
                <w:lang w:eastAsia="zh-CN"/>
              </w:rPr>
              <w:t>”</w:t>
            </w:r>
          </w:p>
        </w:tc>
        <w:tc>
          <w:tcPr>
            <w:tcW w:w="1314" w:type="pct"/>
            <w:gridSpan w:val="2"/>
            <w:vMerge w:val="restart"/>
            <w:shd w:val="clear" w:color="auto" w:fill="auto"/>
            <w:vAlign w:val="center"/>
          </w:tcPr>
          <w:p w14:paraId="2196D69D">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《广东省燃气管理条例》第三十九条</w:t>
            </w:r>
            <w:r>
              <w:rPr>
                <w:rFonts w:hint="default" w:ascii="Times New Roman" w:hAnsi="Times New Roman" w:cs="Times New Roman" w:eastAsiaTheme="minorEastAsia"/>
                <w:color w:val="auto"/>
                <w:kern w:val="0"/>
                <w:sz w:val="18"/>
                <w:szCs w:val="18"/>
                <w:highlight w:val="none"/>
                <w:lang w:eastAsia="zh-CN"/>
              </w:rPr>
              <w:t>第一款：“</w:t>
            </w:r>
            <w:r>
              <w:rPr>
                <w:rFonts w:hint="default" w:ascii="Times New Roman" w:hAnsi="Times New Roman" w:cs="Times New Roman" w:eastAsiaTheme="minorEastAsia"/>
                <w:color w:val="auto"/>
                <w:kern w:val="0"/>
                <w:sz w:val="18"/>
                <w:szCs w:val="18"/>
                <w:highlight w:val="none"/>
              </w:rPr>
              <w:t>违反本条例第二十七条第一款规定，生产经营单位未安装可燃气体报警装置的，由县级以上人民政府燃气管理部门责令限期改正，处五万元以下的罚款；逾期未改正的，处五万元以上二十万元以下的罚款，对其直接负责的主管人员和其他直接责任人员处一万元以上二万元以下的罚款；情节严重的，责令停产停业整顿。</w:t>
            </w:r>
            <w:r>
              <w:rPr>
                <w:rFonts w:hint="default" w:ascii="Times New Roman" w:hAnsi="Times New Roman" w:cs="Times New Roman" w:eastAsiaTheme="minorEastAsia"/>
                <w:color w:val="auto"/>
                <w:kern w:val="0"/>
                <w:sz w:val="18"/>
                <w:szCs w:val="18"/>
                <w:highlight w:val="none"/>
                <w:lang w:eastAsia="zh-CN"/>
              </w:rPr>
              <w:t>”</w:t>
            </w:r>
          </w:p>
        </w:tc>
        <w:tc>
          <w:tcPr>
            <w:tcW w:w="177" w:type="pct"/>
            <w:gridSpan w:val="2"/>
            <w:shd w:val="clear" w:color="auto" w:fill="auto"/>
            <w:vAlign w:val="center"/>
          </w:tcPr>
          <w:p w14:paraId="0709D1CA">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vAlign w:val="center"/>
          </w:tcPr>
          <w:p w14:paraId="3EB2DF69">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未安装场所为单个用气空间，且使用燃气的场所面积80平方米以下</w:t>
            </w:r>
          </w:p>
        </w:tc>
        <w:tc>
          <w:tcPr>
            <w:tcW w:w="545" w:type="pct"/>
            <w:gridSpan w:val="2"/>
            <w:shd w:val="clear" w:color="auto" w:fill="auto"/>
            <w:vAlign w:val="center"/>
          </w:tcPr>
          <w:p w14:paraId="6BCB0CA3">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1.5</w:t>
            </w:r>
            <w:r>
              <w:rPr>
                <w:rFonts w:hint="default" w:ascii="Times New Roman" w:hAnsi="Times New Roman" w:cs="Times New Roman" w:eastAsiaTheme="minorEastAsia"/>
                <w:color w:val="auto"/>
                <w:kern w:val="0"/>
                <w:sz w:val="18"/>
                <w:szCs w:val="18"/>
                <w:highlight w:val="none"/>
              </w:rPr>
              <w:t>万元</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rPr>
              <w:t>的罚款；逾期未改正的，处</w:t>
            </w:r>
            <w:r>
              <w:rPr>
                <w:rFonts w:hint="default" w:ascii="Times New Roman" w:hAnsi="Times New Roman" w:cs="Times New Roman" w:eastAsiaTheme="minorEastAsia"/>
                <w:color w:val="auto"/>
                <w:kern w:val="0"/>
                <w:sz w:val="18"/>
                <w:szCs w:val="18"/>
                <w:highlight w:val="none"/>
                <w:lang w:val="en-US" w:eastAsia="zh-CN"/>
              </w:rPr>
              <w:t>5</w:t>
            </w:r>
            <w:r>
              <w:rPr>
                <w:rFonts w:hint="default" w:ascii="Times New Roman" w:hAnsi="Times New Roman" w:cs="Times New Roman" w:eastAsiaTheme="minorEastAsia"/>
                <w:color w:val="auto"/>
                <w:kern w:val="0"/>
                <w:sz w:val="18"/>
                <w:szCs w:val="18"/>
                <w:highlight w:val="none"/>
              </w:rPr>
              <w:t>万元以上</w:t>
            </w:r>
            <w:r>
              <w:rPr>
                <w:rFonts w:hint="default" w:ascii="Times New Roman" w:hAnsi="Times New Roman" w:cs="Times New Roman" w:eastAsiaTheme="minorEastAsia"/>
                <w:color w:val="auto"/>
                <w:kern w:val="0"/>
                <w:sz w:val="18"/>
                <w:szCs w:val="18"/>
                <w:highlight w:val="none"/>
                <w:lang w:val="en-US" w:eastAsia="zh-CN"/>
              </w:rPr>
              <w:t>9.5</w:t>
            </w:r>
            <w:r>
              <w:rPr>
                <w:rFonts w:hint="default" w:ascii="Times New Roman" w:hAnsi="Times New Roman" w:cs="Times New Roman" w:eastAsiaTheme="minorEastAsia"/>
                <w:color w:val="auto"/>
                <w:kern w:val="0"/>
                <w:sz w:val="18"/>
                <w:szCs w:val="18"/>
                <w:highlight w:val="none"/>
              </w:rPr>
              <w:t>万元以下的罚款，对其直接负责的主管人员和其他直接责任人员处</w:t>
            </w:r>
            <w:r>
              <w:rPr>
                <w:rFonts w:hint="default" w:ascii="Times New Roman" w:hAnsi="Times New Roman" w:cs="Times New Roman" w:eastAsiaTheme="minorEastAsia"/>
                <w:color w:val="auto"/>
                <w:kern w:val="0"/>
                <w:sz w:val="18"/>
                <w:szCs w:val="18"/>
                <w:highlight w:val="none"/>
                <w:lang w:val="en-US" w:eastAsia="zh-CN"/>
              </w:rPr>
              <w:t>1</w:t>
            </w:r>
            <w:r>
              <w:rPr>
                <w:rFonts w:hint="default" w:ascii="Times New Roman" w:hAnsi="Times New Roman" w:cs="Times New Roman" w:eastAsiaTheme="minorEastAsia"/>
                <w:color w:val="auto"/>
                <w:kern w:val="0"/>
                <w:sz w:val="18"/>
                <w:szCs w:val="18"/>
                <w:highlight w:val="none"/>
              </w:rPr>
              <w:t>万元以上</w:t>
            </w:r>
            <w:r>
              <w:rPr>
                <w:rFonts w:hint="default" w:ascii="Times New Roman" w:hAnsi="Times New Roman" w:cs="Times New Roman" w:eastAsiaTheme="minorEastAsia"/>
                <w:color w:val="auto"/>
                <w:kern w:val="0"/>
                <w:sz w:val="18"/>
                <w:szCs w:val="18"/>
                <w:highlight w:val="none"/>
                <w:lang w:val="en-US" w:eastAsia="zh-CN"/>
              </w:rPr>
              <w:t>1.3</w:t>
            </w:r>
            <w:r>
              <w:rPr>
                <w:rFonts w:hint="default" w:ascii="Times New Roman" w:hAnsi="Times New Roman" w:cs="Times New Roman" w:eastAsiaTheme="minorEastAsia"/>
                <w:color w:val="auto"/>
                <w:kern w:val="0"/>
                <w:sz w:val="18"/>
                <w:szCs w:val="18"/>
                <w:highlight w:val="none"/>
              </w:rPr>
              <w:t>万元以下的罚款；情节严重的，责令停产停业整顿</w:t>
            </w:r>
          </w:p>
        </w:tc>
        <w:tc>
          <w:tcPr>
            <w:tcW w:w="260" w:type="pct"/>
            <w:gridSpan w:val="3"/>
            <w:vMerge w:val="restart"/>
            <w:shd w:val="clear" w:color="auto" w:fill="auto"/>
            <w:vAlign w:val="center"/>
          </w:tcPr>
          <w:p w14:paraId="10AFE88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责令限期改正</w:t>
            </w:r>
          </w:p>
        </w:tc>
        <w:tc>
          <w:tcPr>
            <w:tcW w:w="329" w:type="pct"/>
            <w:gridSpan w:val="2"/>
            <w:vMerge w:val="restart"/>
            <w:shd w:val="clear" w:color="auto" w:fill="auto"/>
            <w:vAlign w:val="center"/>
          </w:tcPr>
          <w:p w14:paraId="3F856A15">
            <w:pPr>
              <w:shd w:val="clear"/>
              <w:jc w:val="left"/>
              <w:rPr>
                <w:rFonts w:hint="default" w:ascii="Times New Roman" w:hAnsi="Times New Roman" w:cs="Times New Roman" w:eastAsiaTheme="minorEastAsia"/>
                <w:color w:val="auto"/>
                <w:sz w:val="18"/>
                <w:szCs w:val="18"/>
                <w:highlight w:val="none"/>
                <w:lang w:val="en-US" w:eastAsia="zh-CN"/>
              </w:rPr>
            </w:pPr>
          </w:p>
        </w:tc>
      </w:tr>
      <w:tr w14:paraId="499C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828" w:hRule="atLeast"/>
        </w:trPr>
        <w:tc>
          <w:tcPr>
            <w:tcW w:w="116" w:type="pct"/>
            <w:vMerge w:val="continue"/>
            <w:shd w:val="clear" w:color="auto" w:fill="auto"/>
            <w:vAlign w:val="center"/>
          </w:tcPr>
          <w:p w14:paraId="7708DB5A">
            <w:pPr>
              <w:widowControl/>
              <w:shd w:val="clear"/>
              <w:jc w:val="left"/>
              <w:textAlignment w:val="center"/>
              <w:rPr>
                <w:rFonts w:hint="default" w:ascii="Times New Roman" w:hAnsi="Times New Roman" w:cs="Times New Roman"/>
              </w:rPr>
            </w:pPr>
          </w:p>
        </w:tc>
        <w:tc>
          <w:tcPr>
            <w:tcW w:w="411" w:type="pct"/>
            <w:gridSpan w:val="2"/>
            <w:vMerge w:val="continue"/>
            <w:shd w:val="clear" w:color="auto" w:fill="auto"/>
            <w:vAlign w:val="center"/>
          </w:tcPr>
          <w:p w14:paraId="72D31629">
            <w:pPr>
              <w:widowControl/>
              <w:shd w:val="clear"/>
              <w:jc w:val="left"/>
              <w:textAlignment w:val="center"/>
              <w:rPr>
                <w:rFonts w:hint="default" w:ascii="Times New Roman" w:hAnsi="Times New Roman" w:cs="Times New Roman"/>
              </w:rPr>
            </w:pPr>
          </w:p>
        </w:tc>
        <w:tc>
          <w:tcPr>
            <w:tcW w:w="1310" w:type="pct"/>
            <w:gridSpan w:val="2"/>
            <w:vMerge w:val="continue"/>
            <w:shd w:val="clear" w:color="auto" w:fill="auto"/>
            <w:vAlign w:val="center"/>
          </w:tcPr>
          <w:p w14:paraId="69B7E31A">
            <w:pPr>
              <w:widowControl/>
              <w:shd w:val="clear"/>
              <w:jc w:val="left"/>
              <w:textAlignment w:val="center"/>
              <w:rPr>
                <w:rFonts w:hint="default" w:ascii="Times New Roman" w:hAnsi="Times New Roman" w:cs="Times New Roman"/>
              </w:rPr>
            </w:pPr>
          </w:p>
        </w:tc>
        <w:tc>
          <w:tcPr>
            <w:tcW w:w="1314" w:type="pct"/>
            <w:gridSpan w:val="2"/>
            <w:vMerge w:val="continue"/>
            <w:shd w:val="clear" w:color="auto" w:fill="auto"/>
            <w:vAlign w:val="center"/>
          </w:tcPr>
          <w:p w14:paraId="2327953C">
            <w:pPr>
              <w:widowControl/>
              <w:shd w:val="clear"/>
              <w:jc w:val="left"/>
              <w:textAlignment w:val="center"/>
              <w:rPr>
                <w:rFonts w:hint="default" w:ascii="Times New Roman" w:hAnsi="Times New Roman" w:cs="Times New Roman"/>
              </w:rPr>
            </w:pPr>
          </w:p>
        </w:tc>
        <w:tc>
          <w:tcPr>
            <w:tcW w:w="177" w:type="pct"/>
            <w:gridSpan w:val="2"/>
            <w:shd w:val="clear" w:color="auto" w:fill="auto"/>
            <w:vAlign w:val="center"/>
          </w:tcPr>
          <w:p w14:paraId="18250AB1">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vAlign w:val="center"/>
          </w:tcPr>
          <w:p w14:paraId="401F4F94">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未安装场所为单个用气空间，且使用燃气的场所面积80平方米以上；</w:t>
            </w:r>
          </w:p>
          <w:p w14:paraId="181E16BD">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两个以上用气场所未安装可燃气体报警装置</w:t>
            </w:r>
          </w:p>
          <w:p w14:paraId="6303CA69">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p>
        </w:tc>
        <w:tc>
          <w:tcPr>
            <w:tcW w:w="545" w:type="pct"/>
            <w:gridSpan w:val="2"/>
            <w:shd w:val="clear" w:color="auto" w:fill="auto"/>
            <w:vAlign w:val="center"/>
          </w:tcPr>
          <w:p w14:paraId="70F249F8">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eastAsia="zh-CN"/>
              </w:rPr>
              <w:t>1.5</w:t>
            </w:r>
            <w:r>
              <w:rPr>
                <w:rFonts w:hint="default" w:ascii="Times New Roman" w:hAnsi="Times New Roman" w:cs="Times New Roman" w:eastAsiaTheme="minorEastAsia"/>
                <w:color w:val="auto"/>
                <w:kern w:val="0"/>
                <w:sz w:val="18"/>
                <w:szCs w:val="18"/>
                <w:highlight w:val="none"/>
              </w:rPr>
              <w:t>万元</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lang w:val="en-US" w:eastAsia="zh-CN"/>
              </w:rPr>
              <w:t>3.5万元以下</w:t>
            </w:r>
            <w:r>
              <w:rPr>
                <w:rFonts w:hint="default" w:ascii="Times New Roman" w:hAnsi="Times New Roman" w:cs="Times New Roman" w:eastAsiaTheme="minorEastAsia"/>
                <w:color w:val="auto"/>
                <w:kern w:val="0"/>
                <w:sz w:val="18"/>
                <w:szCs w:val="18"/>
                <w:highlight w:val="none"/>
              </w:rPr>
              <w:t>的罚款；逾期未改正的，处</w:t>
            </w:r>
            <w:r>
              <w:rPr>
                <w:rFonts w:hint="default" w:ascii="Times New Roman" w:hAnsi="Times New Roman" w:cs="Times New Roman" w:eastAsiaTheme="minorEastAsia"/>
                <w:color w:val="auto"/>
                <w:kern w:val="0"/>
                <w:sz w:val="18"/>
                <w:szCs w:val="18"/>
                <w:highlight w:val="none"/>
                <w:lang w:val="en-US" w:eastAsia="zh-CN"/>
              </w:rPr>
              <w:t>9.5</w:t>
            </w:r>
            <w:r>
              <w:rPr>
                <w:rFonts w:hint="default" w:ascii="Times New Roman" w:hAnsi="Times New Roman" w:cs="Times New Roman" w:eastAsiaTheme="minorEastAsia"/>
                <w:color w:val="auto"/>
                <w:kern w:val="0"/>
                <w:sz w:val="18"/>
                <w:szCs w:val="18"/>
                <w:highlight w:val="none"/>
              </w:rPr>
              <w:t>万元以上</w:t>
            </w:r>
            <w:r>
              <w:rPr>
                <w:rFonts w:hint="default" w:ascii="Times New Roman" w:hAnsi="Times New Roman" w:cs="Times New Roman" w:eastAsiaTheme="minorEastAsia"/>
                <w:color w:val="auto"/>
                <w:kern w:val="0"/>
                <w:sz w:val="18"/>
                <w:szCs w:val="18"/>
                <w:highlight w:val="none"/>
                <w:lang w:val="en-US" w:eastAsia="zh-CN"/>
              </w:rPr>
              <w:t>15.5</w:t>
            </w:r>
            <w:r>
              <w:rPr>
                <w:rFonts w:hint="default" w:ascii="Times New Roman" w:hAnsi="Times New Roman" w:cs="Times New Roman" w:eastAsiaTheme="minorEastAsia"/>
                <w:color w:val="auto"/>
                <w:kern w:val="0"/>
                <w:sz w:val="18"/>
                <w:szCs w:val="18"/>
                <w:highlight w:val="none"/>
              </w:rPr>
              <w:t>万元以下的罚款，对其直接负责的主管人员和其他直接责任人员处</w:t>
            </w:r>
            <w:r>
              <w:rPr>
                <w:rFonts w:hint="default" w:ascii="Times New Roman" w:hAnsi="Times New Roman" w:cs="Times New Roman" w:eastAsiaTheme="minorEastAsia"/>
                <w:color w:val="auto"/>
                <w:kern w:val="0"/>
                <w:sz w:val="18"/>
                <w:szCs w:val="18"/>
                <w:highlight w:val="none"/>
                <w:lang w:val="en-US" w:eastAsia="zh-CN"/>
              </w:rPr>
              <w:t>1.3</w:t>
            </w:r>
            <w:r>
              <w:rPr>
                <w:rFonts w:hint="default" w:ascii="Times New Roman" w:hAnsi="Times New Roman" w:cs="Times New Roman" w:eastAsiaTheme="minorEastAsia"/>
                <w:color w:val="auto"/>
                <w:kern w:val="0"/>
                <w:sz w:val="18"/>
                <w:szCs w:val="18"/>
                <w:highlight w:val="none"/>
              </w:rPr>
              <w:t>万元以上</w:t>
            </w:r>
            <w:r>
              <w:rPr>
                <w:rFonts w:hint="default" w:ascii="Times New Roman" w:hAnsi="Times New Roman" w:cs="Times New Roman" w:eastAsiaTheme="minorEastAsia"/>
                <w:color w:val="auto"/>
                <w:kern w:val="0"/>
                <w:sz w:val="18"/>
                <w:szCs w:val="18"/>
                <w:highlight w:val="none"/>
                <w:lang w:val="en-US" w:eastAsia="zh-CN"/>
              </w:rPr>
              <w:t>1.7</w:t>
            </w:r>
            <w:r>
              <w:rPr>
                <w:rFonts w:hint="default" w:ascii="Times New Roman" w:hAnsi="Times New Roman" w:cs="Times New Roman" w:eastAsiaTheme="minorEastAsia"/>
                <w:color w:val="auto"/>
                <w:kern w:val="0"/>
                <w:sz w:val="18"/>
                <w:szCs w:val="18"/>
                <w:highlight w:val="none"/>
              </w:rPr>
              <w:t>万元以下的罚款；情节严重的，责令停产停业整顿</w:t>
            </w:r>
          </w:p>
        </w:tc>
        <w:tc>
          <w:tcPr>
            <w:tcW w:w="260" w:type="pct"/>
            <w:gridSpan w:val="3"/>
            <w:vMerge w:val="continue"/>
            <w:shd w:val="clear" w:color="auto" w:fill="auto"/>
            <w:vAlign w:val="center"/>
          </w:tcPr>
          <w:p w14:paraId="6369E473">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329" w:type="pct"/>
            <w:gridSpan w:val="2"/>
            <w:vMerge w:val="continue"/>
            <w:shd w:val="clear" w:color="auto" w:fill="auto"/>
            <w:vAlign w:val="center"/>
          </w:tcPr>
          <w:p w14:paraId="2375844C">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r>
      <w:tr w14:paraId="1CBE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828" w:hRule="atLeast"/>
        </w:trPr>
        <w:tc>
          <w:tcPr>
            <w:tcW w:w="116" w:type="pct"/>
            <w:vMerge w:val="continue"/>
            <w:shd w:val="clear" w:color="auto" w:fill="auto"/>
            <w:vAlign w:val="center"/>
          </w:tcPr>
          <w:p w14:paraId="4F8871B5">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411" w:type="pct"/>
            <w:gridSpan w:val="2"/>
            <w:vMerge w:val="continue"/>
            <w:shd w:val="clear" w:color="auto" w:fill="auto"/>
            <w:vAlign w:val="center"/>
          </w:tcPr>
          <w:p w14:paraId="4DAA2BC1">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1310" w:type="pct"/>
            <w:gridSpan w:val="2"/>
            <w:vMerge w:val="continue"/>
            <w:shd w:val="clear" w:color="auto" w:fill="auto"/>
            <w:vAlign w:val="center"/>
          </w:tcPr>
          <w:p w14:paraId="2FB34301">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1314" w:type="pct"/>
            <w:gridSpan w:val="2"/>
            <w:vMerge w:val="continue"/>
            <w:shd w:val="clear" w:color="auto" w:fill="auto"/>
            <w:vAlign w:val="center"/>
          </w:tcPr>
          <w:p w14:paraId="42234116">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177" w:type="pct"/>
            <w:gridSpan w:val="2"/>
            <w:shd w:val="clear" w:color="auto" w:fill="auto"/>
            <w:vAlign w:val="center"/>
          </w:tcPr>
          <w:p w14:paraId="38608A81">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vAlign w:val="center"/>
          </w:tcPr>
          <w:p w14:paraId="10AA42B2">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未按规定安装并正常使用可燃气体报警装置，发生燃气安全事故</w:t>
            </w:r>
          </w:p>
        </w:tc>
        <w:tc>
          <w:tcPr>
            <w:tcW w:w="545" w:type="pct"/>
            <w:gridSpan w:val="2"/>
            <w:shd w:val="clear" w:color="auto" w:fill="auto"/>
            <w:vAlign w:val="center"/>
          </w:tcPr>
          <w:p w14:paraId="125ECEDE">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处</w:t>
            </w:r>
            <w:r>
              <w:rPr>
                <w:rFonts w:hint="default" w:ascii="Times New Roman" w:hAnsi="Times New Roman" w:cs="Times New Roman" w:eastAsiaTheme="minorEastAsia"/>
                <w:color w:val="auto"/>
                <w:kern w:val="0"/>
                <w:sz w:val="18"/>
                <w:szCs w:val="18"/>
                <w:highlight w:val="none"/>
                <w:lang w:val="en-US" w:eastAsia="zh-CN"/>
              </w:rPr>
              <w:t>3.5</w:t>
            </w:r>
            <w:r>
              <w:rPr>
                <w:rFonts w:hint="default" w:ascii="Times New Roman" w:hAnsi="Times New Roman" w:cs="Times New Roman" w:eastAsiaTheme="minorEastAsia"/>
                <w:color w:val="auto"/>
                <w:kern w:val="0"/>
                <w:sz w:val="18"/>
                <w:szCs w:val="18"/>
                <w:highlight w:val="none"/>
                <w:lang w:eastAsia="zh-CN"/>
              </w:rPr>
              <w:t>万元以上</w:t>
            </w:r>
            <w:r>
              <w:rPr>
                <w:rFonts w:hint="default" w:ascii="Times New Roman" w:hAnsi="Times New Roman" w:cs="Times New Roman" w:eastAsiaTheme="minorEastAsia"/>
                <w:color w:val="auto"/>
                <w:kern w:val="0"/>
                <w:sz w:val="18"/>
                <w:szCs w:val="18"/>
                <w:highlight w:val="none"/>
                <w:lang w:val="en-US" w:eastAsia="zh-CN"/>
              </w:rPr>
              <w:t>5万元以下</w:t>
            </w:r>
            <w:r>
              <w:rPr>
                <w:rFonts w:hint="default" w:ascii="Times New Roman" w:hAnsi="Times New Roman" w:cs="Times New Roman" w:eastAsiaTheme="minorEastAsia"/>
                <w:color w:val="auto"/>
                <w:kern w:val="0"/>
                <w:sz w:val="18"/>
                <w:szCs w:val="18"/>
                <w:highlight w:val="none"/>
                <w:lang w:eastAsia="zh-CN"/>
              </w:rPr>
              <w:t>的罚款；逾期未改正的，处</w:t>
            </w:r>
            <w:r>
              <w:rPr>
                <w:rFonts w:hint="default" w:ascii="Times New Roman" w:hAnsi="Times New Roman" w:cs="Times New Roman" w:eastAsiaTheme="minorEastAsia"/>
                <w:color w:val="auto"/>
                <w:kern w:val="0"/>
                <w:sz w:val="18"/>
                <w:szCs w:val="18"/>
                <w:highlight w:val="none"/>
                <w:lang w:val="en-US" w:eastAsia="zh-CN"/>
              </w:rPr>
              <w:t>15.5</w:t>
            </w:r>
            <w:r>
              <w:rPr>
                <w:rFonts w:hint="default" w:ascii="Times New Roman" w:hAnsi="Times New Roman" w:cs="Times New Roman" w:eastAsiaTheme="minorEastAsia"/>
                <w:color w:val="auto"/>
                <w:kern w:val="0"/>
                <w:sz w:val="18"/>
                <w:szCs w:val="18"/>
                <w:highlight w:val="none"/>
                <w:lang w:eastAsia="zh-CN"/>
              </w:rPr>
              <w:t>万元以上</w:t>
            </w:r>
            <w:r>
              <w:rPr>
                <w:rFonts w:hint="default" w:ascii="Times New Roman" w:hAnsi="Times New Roman" w:cs="Times New Roman" w:eastAsiaTheme="minorEastAsia"/>
                <w:color w:val="auto"/>
                <w:kern w:val="0"/>
                <w:sz w:val="18"/>
                <w:szCs w:val="18"/>
                <w:highlight w:val="none"/>
                <w:lang w:val="en-US" w:eastAsia="zh-CN"/>
              </w:rPr>
              <w:t>20</w:t>
            </w:r>
            <w:r>
              <w:rPr>
                <w:rFonts w:hint="default" w:ascii="Times New Roman" w:hAnsi="Times New Roman" w:cs="Times New Roman" w:eastAsiaTheme="minorEastAsia"/>
                <w:color w:val="auto"/>
                <w:kern w:val="0"/>
                <w:sz w:val="18"/>
                <w:szCs w:val="18"/>
                <w:highlight w:val="none"/>
                <w:lang w:eastAsia="zh-CN"/>
              </w:rPr>
              <w:t>万元以下的罚款，对其直接负责的主管人员和其他直接责任人员处</w:t>
            </w:r>
            <w:r>
              <w:rPr>
                <w:rFonts w:hint="default" w:ascii="Times New Roman" w:hAnsi="Times New Roman" w:cs="Times New Roman" w:eastAsiaTheme="minorEastAsia"/>
                <w:color w:val="auto"/>
                <w:kern w:val="0"/>
                <w:sz w:val="18"/>
                <w:szCs w:val="18"/>
                <w:highlight w:val="none"/>
                <w:lang w:val="en-US" w:eastAsia="zh-CN"/>
              </w:rPr>
              <w:t>1.7</w:t>
            </w:r>
            <w:r>
              <w:rPr>
                <w:rFonts w:hint="default" w:ascii="Times New Roman" w:hAnsi="Times New Roman" w:cs="Times New Roman" w:eastAsiaTheme="minorEastAsia"/>
                <w:color w:val="auto"/>
                <w:kern w:val="0"/>
                <w:sz w:val="18"/>
                <w:szCs w:val="18"/>
                <w:highlight w:val="none"/>
                <w:lang w:eastAsia="zh-CN"/>
              </w:rPr>
              <w:t>万元以上</w:t>
            </w:r>
            <w:r>
              <w:rPr>
                <w:rFonts w:hint="default" w:ascii="Times New Roman" w:hAnsi="Times New Roman" w:cs="Times New Roman" w:eastAsiaTheme="minorEastAsia"/>
                <w:color w:val="auto"/>
                <w:kern w:val="0"/>
                <w:sz w:val="18"/>
                <w:szCs w:val="18"/>
                <w:highlight w:val="none"/>
                <w:lang w:val="en-US" w:eastAsia="zh-CN"/>
              </w:rPr>
              <w:t>2</w:t>
            </w:r>
            <w:r>
              <w:rPr>
                <w:rFonts w:hint="default" w:ascii="Times New Roman" w:hAnsi="Times New Roman" w:cs="Times New Roman" w:eastAsiaTheme="minorEastAsia"/>
                <w:color w:val="auto"/>
                <w:kern w:val="0"/>
                <w:sz w:val="18"/>
                <w:szCs w:val="18"/>
                <w:highlight w:val="none"/>
                <w:lang w:eastAsia="zh-CN"/>
              </w:rPr>
              <w:t>万元以下的罚款；情节严重的，责令停产停业整顿</w:t>
            </w:r>
          </w:p>
        </w:tc>
        <w:tc>
          <w:tcPr>
            <w:tcW w:w="260" w:type="pct"/>
            <w:gridSpan w:val="3"/>
            <w:vMerge w:val="continue"/>
            <w:shd w:val="clear" w:color="auto" w:fill="auto"/>
            <w:vAlign w:val="center"/>
          </w:tcPr>
          <w:p w14:paraId="6733CCFC">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329" w:type="pct"/>
            <w:gridSpan w:val="2"/>
            <w:vMerge w:val="continue"/>
            <w:shd w:val="clear" w:color="auto" w:fill="auto"/>
            <w:vAlign w:val="center"/>
          </w:tcPr>
          <w:p w14:paraId="37169357">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r>
      <w:tr w14:paraId="1724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620" w:hRule="atLeast"/>
        </w:trPr>
        <w:tc>
          <w:tcPr>
            <w:tcW w:w="116" w:type="pct"/>
            <w:vMerge w:val="restart"/>
            <w:shd w:val="clear" w:color="auto" w:fill="auto"/>
            <w:vAlign w:val="center"/>
          </w:tcPr>
          <w:p w14:paraId="5EC78EEE">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148</w:t>
            </w:r>
          </w:p>
        </w:tc>
        <w:tc>
          <w:tcPr>
            <w:tcW w:w="411" w:type="pct"/>
            <w:gridSpan w:val="2"/>
            <w:vMerge w:val="restart"/>
            <w:shd w:val="clear" w:color="auto" w:fill="auto"/>
            <w:vAlign w:val="center"/>
          </w:tcPr>
          <w:p w14:paraId="3926EA46">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其他单位和个人未安装可燃气体报警装置</w:t>
            </w:r>
            <w:r>
              <w:rPr>
                <w:rFonts w:hint="default" w:ascii="Times New Roman" w:hAnsi="Times New Roman" w:cs="Times New Roman" w:eastAsiaTheme="minorEastAsia"/>
                <w:color w:val="auto"/>
                <w:kern w:val="0"/>
                <w:sz w:val="18"/>
                <w:szCs w:val="18"/>
                <w:highlight w:val="none"/>
                <w:lang w:eastAsia="zh-CN"/>
              </w:rPr>
              <w:t>，逾期不改正</w:t>
            </w:r>
            <w:r>
              <w:rPr>
                <w:rFonts w:hint="default" w:ascii="Times New Roman" w:hAnsi="Times New Roman" w:cs="Times New Roman" w:eastAsiaTheme="minorEastAsia"/>
                <w:color w:val="auto"/>
                <w:kern w:val="0"/>
                <w:sz w:val="18"/>
                <w:szCs w:val="18"/>
                <w:highlight w:val="none"/>
              </w:rPr>
              <w:t>的</w:t>
            </w:r>
          </w:p>
        </w:tc>
        <w:tc>
          <w:tcPr>
            <w:tcW w:w="1310" w:type="pct"/>
            <w:gridSpan w:val="2"/>
            <w:vMerge w:val="restart"/>
            <w:shd w:val="clear" w:color="auto" w:fill="auto"/>
            <w:vAlign w:val="center"/>
          </w:tcPr>
          <w:p w14:paraId="5FD5A0F1">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《广东省燃气管理条例》第二十七条</w:t>
            </w:r>
            <w:r>
              <w:rPr>
                <w:rFonts w:hint="default" w:ascii="Times New Roman" w:hAnsi="Times New Roman" w:cs="Times New Roman" w:eastAsiaTheme="minorEastAsia"/>
                <w:color w:val="auto"/>
                <w:kern w:val="0"/>
                <w:sz w:val="18"/>
                <w:szCs w:val="18"/>
                <w:highlight w:val="none"/>
                <w:lang w:eastAsia="zh-CN"/>
              </w:rPr>
              <w:t>第一款：“</w:t>
            </w:r>
            <w:r>
              <w:rPr>
                <w:rFonts w:hint="default" w:ascii="Times New Roman" w:hAnsi="Times New Roman" w:cs="Times New Roman" w:eastAsiaTheme="minorEastAsia"/>
                <w:color w:val="auto"/>
                <w:kern w:val="0"/>
                <w:sz w:val="18"/>
                <w:szCs w:val="18"/>
                <w:highlight w:val="none"/>
              </w:rPr>
              <w:t>有下列情形之一的，燃气用户应当安装可燃气体报警装置，并保障其正常使用：（一）属于餐饮等行业的生产经营单位的；（二）在符合用气条件的地下室、半地下室或通风不良场所使用管道燃气的（三）其他在人员聚集的室内公共场所长期使用燃气的。</w:t>
            </w:r>
            <w:r>
              <w:rPr>
                <w:rFonts w:hint="default" w:ascii="Times New Roman" w:hAnsi="Times New Roman" w:cs="Times New Roman" w:eastAsiaTheme="minorEastAsia"/>
                <w:color w:val="auto"/>
                <w:kern w:val="0"/>
                <w:sz w:val="18"/>
                <w:szCs w:val="18"/>
                <w:highlight w:val="none"/>
                <w:lang w:eastAsia="zh-CN"/>
              </w:rPr>
              <w:t>”</w:t>
            </w:r>
          </w:p>
        </w:tc>
        <w:tc>
          <w:tcPr>
            <w:tcW w:w="1314" w:type="pct"/>
            <w:gridSpan w:val="2"/>
            <w:vMerge w:val="restart"/>
            <w:shd w:val="clear" w:color="auto" w:fill="auto"/>
            <w:vAlign w:val="center"/>
          </w:tcPr>
          <w:p w14:paraId="3E5AB082">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《广东省燃气管理条例》第三十九条</w:t>
            </w:r>
            <w:r>
              <w:rPr>
                <w:rFonts w:hint="default" w:ascii="Times New Roman" w:hAnsi="Times New Roman" w:cs="Times New Roman" w:eastAsiaTheme="minorEastAsia"/>
                <w:color w:val="auto"/>
                <w:kern w:val="0"/>
                <w:sz w:val="18"/>
                <w:szCs w:val="18"/>
                <w:highlight w:val="none"/>
                <w:lang w:eastAsia="zh-CN"/>
              </w:rPr>
              <w:t>第二款：“</w:t>
            </w:r>
            <w:r>
              <w:rPr>
                <w:rFonts w:hint="default" w:ascii="Times New Roman" w:hAnsi="Times New Roman" w:cs="Times New Roman" w:eastAsiaTheme="minorEastAsia"/>
                <w:color w:val="auto"/>
                <w:kern w:val="0"/>
                <w:sz w:val="18"/>
                <w:szCs w:val="18"/>
                <w:highlight w:val="none"/>
              </w:rPr>
              <w:t>违反本条例第二十七条第一款规定，其他单位和个人未安装可燃气体报警装置的，由县级以上人民政府燃气管理部门责令限期改正；逾期不改正的，对单位可以处十万元以下罚款，对个人可以处一千元以下罚款。</w:t>
            </w:r>
            <w:r>
              <w:rPr>
                <w:rFonts w:hint="default" w:ascii="Times New Roman" w:hAnsi="Times New Roman" w:cs="Times New Roman" w:eastAsiaTheme="minorEastAsia"/>
                <w:color w:val="auto"/>
                <w:kern w:val="0"/>
                <w:sz w:val="18"/>
                <w:szCs w:val="18"/>
                <w:highlight w:val="none"/>
                <w:lang w:eastAsia="zh-CN"/>
              </w:rPr>
              <w:t>”</w:t>
            </w:r>
          </w:p>
        </w:tc>
        <w:tc>
          <w:tcPr>
            <w:tcW w:w="177" w:type="pct"/>
            <w:gridSpan w:val="2"/>
            <w:shd w:val="clear" w:color="auto" w:fill="auto"/>
            <w:vAlign w:val="center"/>
          </w:tcPr>
          <w:p w14:paraId="5A3485FA">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vAlign w:val="center"/>
          </w:tcPr>
          <w:p w14:paraId="09978F28">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未安装场所为单个用气空间，使用燃气的场所面积80平方米以下</w:t>
            </w:r>
          </w:p>
        </w:tc>
        <w:tc>
          <w:tcPr>
            <w:tcW w:w="545" w:type="pct"/>
            <w:gridSpan w:val="2"/>
            <w:shd w:val="clear" w:color="auto" w:fill="auto"/>
            <w:vAlign w:val="center"/>
          </w:tcPr>
          <w:p w14:paraId="60D9F606">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对单位可以处</w:t>
            </w:r>
            <w:r>
              <w:rPr>
                <w:rFonts w:hint="default" w:ascii="Times New Roman" w:hAnsi="Times New Roman" w:cs="Times New Roman" w:eastAsiaTheme="minorEastAsia"/>
                <w:color w:val="auto"/>
                <w:kern w:val="0"/>
                <w:sz w:val="18"/>
                <w:szCs w:val="18"/>
                <w:highlight w:val="none"/>
                <w:lang w:val="en-US" w:eastAsia="zh-CN"/>
              </w:rPr>
              <w:t>3万元</w:t>
            </w:r>
            <w:r>
              <w:rPr>
                <w:rFonts w:hint="default" w:ascii="Times New Roman" w:hAnsi="Times New Roman" w:cs="Times New Roman" w:eastAsiaTheme="minorEastAsia"/>
                <w:color w:val="auto"/>
                <w:kern w:val="0"/>
                <w:sz w:val="18"/>
                <w:szCs w:val="18"/>
                <w:highlight w:val="none"/>
              </w:rPr>
              <w:t>以下罚款，对个人可以处</w:t>
            </w:r>
            <w:r>
              <w:rPr>
                <w:rFonts w:hint="default" w:ascii="Times New Roman" w:hAnsi="Times New Roman" w:cs="Times New Roman" w:eastAsiaTheme="minorEastAsia"/>
                <w:color w:val="auto"/>
                <w:kern w:val="0"/>
                <w:sz w:val="18"/>
                <w:szCs w:val="18"/>
                <w:highlight w:val="none"/>
                <w:lang w:val="en-US" w:eastAsia="zh-CN"/>
              </w:rPr>
              <w:t>300</w:t>
            </w:r>
            <w:r>
              <w:rPr>
                <w:rFonts w:hint="default" w:ascii="Times New Roman" w:hAnsi="Times New Roman" w:cs="Times New Roman" w:eastAsiaTheme="minorEastAsia"/>
                <w:color w:val="auto"/>
                <w:kern w:val="0"/>
                <w:sz w:val="18"/>
                <w:szCs w:val="18"/>
                <w:highlight w:val="none"/>
              </w:rPr>
              <w:t>元以下罚款</w:t>
            </w:r>
          </w:p>
        </w:tc>
        <w:tc>
          <w:tcPr>
            <w:tcW w:w="260" w:type="pct"/>
            <w:gridSpan w:val="3"/>
            <w:vMerge w:val="restart"/>
            <w:shd w:val="clear" w:color="auto" w:fill="auto"/>
            <w:vAlign w:val="center"/>
          </w:tcPr>
          <w:p w14:paraId="045F9A3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责令限期改正</w:t>
            </w:r>
          </w:p>
        </w:tc>
        <w:tc>
          <w:tcPr>
            <w:tcW w:w="329" w:type="pct"/>
            <w:gridSpan w:val="2"/>
            <w:vMerge w:val="restart"/>
            <w:shd w:val="clear" w:color="auto" w:fill="auto"/>
            <w:vAlign w:val="center"/>
          </w:tcPr>
          <w:p w14:paraId="709E5C6D">
            <w:pPr>
              <w:shd w:val="clear"/>
              <w:jc w:val="left"/>
              <w:rPr>
                <w:rFonts w:hint="default" w:ascii="Times New Roman" w:hAnsi="Times New Roman" w:cs="Times New Roman" w:eastAsiaTheme="minorEastAsia"/>
                <w:color w:val="auto"/>
                <w:sz w:val="18"/>
                <w:szCs w:val="18"/>
                <w:highlight w:val="none"/>
                <w:lang w:val="en-US" w:eastAsia="zh-CN"/>
              </w:rPr>
            </w:pPr>
          </w:p>
        </w:tc>
      </w:tr>
      <w:tr w14:paraId="07CC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620" w:hRule="atLeast"/>
        </w:trPr>
        <w:tc>
          <w:tcPr>
            <w:tcW w:w="116" w:type="pct"/>
            <w:vMerge w:val="continue"/>
            <w:shd w:val="clear" w:color="auto" w:fill="auto"/>
            <w:vAlign w:val="center"/>
          </w:tcPr>
          <w:p w14:paraId="4435CCD5">
            <w:pPr>
              <w:widowControl/>
              <w:shd w:val="clear"/>
              <w:jc w:val="left"/>
              <w:textAlignment w:val="center"/>
              <w:rPr>
                <w:rFonts w:hint="default" w:ascii="Times New Roman" w:hAnsi="Times New Roman" w:cs="Times New Roman"/>
              </w:rPr>
            </w:pPr>
          </w:p>
        </w:tc>
        <w:tc>
          <w:tcPr>
            <w:tcW w:w="411" w:type="pct"/>
            <w:gridSpan w:val="2"/>
            <w:vMerge w:val="continue"/>
            <w:shd w:val="clear" w:color="auto" w:fill="auto"/>
            <w:vAlign w:val="center"/>
          </w:tcPr>
          <w:p w14:paraId="36CAE94A">
            <w:pPr>
              <w:widowControl/>
              <w:shd w:val="clear"/>
              <w:jc w:val="left"/>
              <w:textAlignment w:val="center"/>
              <w:rPr>
                <w:rFonts w:hint="default" w:ascii="Times New Roman" w:hAnsi="Times New Roman" w:cs="Times New Roman"/>
              </w:rPr>
            </w:pPr>
          </w:p>
        </w:tc>
        <w:tc>
          <w:tcPr>
            <w:tcW w:w="1310" w:type="pct"/>
            <w:gridSpan w:val="2"/>
            <w:vMerge w:val="continue"/>
            <w:shd w:val="clear" w:color="auto" w:fill="auto"/>
            <w:vAlign w:val="center"/>
          </w:tcPr>
          <w:p w14:paraId="42FEE084">
            <w:pPr>
              <w:widowControl/>
              <w:shd w:val="clear"/>
              <w:jc w:val="left"/>
              <w:textAlignment w:val="center"/>
              <w:rPr>
                <w:rFonts w:hint="default" w:ascii="Times New Roman" w:hAnsi="Times New Roman" w:cs="Times New Roman"/>
              </w:rPr>
            </w:pPr>
          </w:p>
        </w:tc>
        <w:tc>
          <w:tcPr>
            <w:tcW w:w="1314" w:type="pct"/>
            <w:gridSpan w:val="2"/>
            <w:vMerge w:val="continue"/>
            <w:shd w:val="clear" w:color="auto" w:fill="auto"/>
            <w:vAlign w:val="center"/>
          </w:tcPr>
          <w:p w14:paraId="2963ED7B">
            <w:pPr>
              <w:widowControl/>
              <w:shd w:val="clear"/>
              <w:jc w:val="left"/>
              <w:textAlignment w:val="center"/>
              <w:rPr>
                <w:rFonts w:hint="default" w:ascii="Times New Roman" w:hAnsi="Times New Roman" w:cs="Times New Roman"/>
              </w:rPr>
            </w:pPr>
          </w:p>
        </w:tc>
        <w:tc>
          <w:tcPr>
            <w:tcW w:w="177" w:type="pct"/>
            <w:gridSpan w:val="2"/>
            <w:shd w:val="clear" w:color="auto" w:fill="auto"/>
            <w:vAlign w:val="center"/>
          </w:tcPr>
          <w:p w14:paraId="6E3652E5">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vAlign w:val="center"/>
          </w:tcPr>
          <w:p w14:paraId="64AEA513">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未安装场所为单个用气空间，使用燃气的场所面积80平方米以上</w:t>
            </w:r>
          </w:p>
        </w:tc>
        <w:tc>
          <w:tcPr>
            <w:tcW w:w="545" w:type="pct"/>
            <w:gridSpan w:val="2"/>
            <w:shd w:val="clear" w:color="auto" w:fill="auto"/>
            <w:vAlign w:val="center"/>
          </w:tcPr>
          <w:p w14:paraId="11B21457">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对单位可以处</w:t>
            </w:r>
            <w:r>
              <w:rPr>
                <w:rFonts w:hint="default" w:ascii="Times New Roman" w:hAnsi="Times New Roman" w:cs="Times New Roman" w:eastAsiaTheme="minorEastAsia"/>
                <w:color w:val="auto"/>
                <w:kern w:val="0"/>
                <w:sz w:val="18"/>
                <w:szCs w:val="18"/>
                <w:highlight w:val="none"/>
                <w:lang w:val="en-US" w:eastAsia="zh-CN"/>
              </w:rPr>
              <w:t>3万元以上7万元以</w:t>
            </w:r>
            <w:r>
              <w:rPr>
                <w:rFonts w:hint="default" w:ascii="Times New Roman" w:hAnsi="Times New Roman" w:cs="Times New Roman" w:eastAsiaTheme="minorEastAsia"/>
                <w:color w:val="auto"/>
                <w:kern w:val="0"/>
                <w:sz w:val="18"/>
                <w:szCs w:val="18"/>
                <w:highlight w:val="none"/>
              </w:rPr>
              <w:t>下罚款，对个人可以处</w:t>
            </w:r>
            <w:r>
              <w:rPr>
                <w:rFonts w:hint="default" w:ascii="Times New Roman" w:hAnsi="Times New Roman" w:cs="Times New Roman" w:eastAsiaTheme="minorEastAsia"/>
                <w:color w:val="auto"/>
                <w:kern w:val="0"/>
                <w:sz w:val="18"/>
                <w:szCs w:val="18"/>
                <w:highlight w:val="none"/>
                <w:lang w:val="en-US" w:eastAsia="zh-CN"/>
              </w:rPr>
              <w:t>300元以上700</w:t>
            </w:r>
            <w:r>
              <w:rPr>
                <w:rFonts w:hint="default" w:ascii="Times New Roman" w:hAnsi="Times New Roman" w:cs="Times New Roman" w:eastAsiaTheme="minorEastAsia"/>
                <w:color w:val="auto"/>
                <w:kern w:val="0"/>
                <w:sz w:val="18"/>
                <w:szCs w:val="18"/>
                <w:highlight w:val="none"/>
              </w:rPr>
              <w:t>元以下罚款</w:t>
            </w:r>
          </w:p>
        </w:tc>
        <w:tc>
          <w:tcPr>
            <w:tcW w:w="260" w:type="pct"/>
            <w:gridSpan w:val="3"/>
            <w:vMerge w:val="continue"/>
            <w:shd w:val="clear" w:color="auto" w:fill="auto"/>
            <w:vAlign w:val="center"/>
          </w:tcPr>
          <w:p w14:paraId="550A8761">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329" w:type="pct"/>
            <w:gridSpan w:val="2"/>
            <w:vMerge w:val="continue"/>
            <w:shd w:val="clear" w:color="auto" w:fill="auto"/>
            <w:vAlign w:val="center"/>
          </w:tcPr>
          <w:p w14:paraId="44ECA4B5">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r>
      <w:tr w14:paraId="1125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620" w:hRule="atLeast"/>
        </w:trPr>
        <w:tc>
          <w:tcPr>
            <w:tcW w:w="116" w:type="pct"/>
            <w:vMerge w:val="continue"/>
            <w:shd w:val="clear" w:color="auto" w:fill="auto"/>
            <w:vAlign w:val="center"/>
          </w:tcPr>
          <w:p w14:paraId="0F282341">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411" w:type="pct"/>
            <w:gridSpan w:val="2"/>
            <w:vMerge w:val="continue"/>
            <w:shd w:val="clear" w:color="auto" w:fill="auto"/>
            <w:vAlign w:val="center"/>
          </w:tcPr>
          <w:p w14:paraId="4E3A8566">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1310" w:type="pct"/>
            <w:gridSpan w:val="2"/>
            <w:vMerge w:val="continue"/>
            <w:shd w:val="clear" w:color="auto" w:fill="auto"/>
            <w:vAlign w:val="center"/>
          </w:tcPr>
          <w:p w14:paraId="1548480C">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1314" w:type="pct"/>
            <w:gridSpan w:val="2"/>
            <w:vMerge w:val="continue"/>
            <w:shd w:val="clear" w:color="auto" w:fill="auto"/>
            <w:vAlign w:val="center"/>
          </w:tcPr>
          <w:p w14:paraId="1A87936A">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177" w:type="pct"/>
            <w:gridSpan w:val="2"/>
            <w:shd w:val="clear" w:color="auto" w:fill="auto"/>
            <w:vAlign w:val="center"/>
          </w:tcPr>
          <w:p w14:paraId="2E1A5C5D">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vAlign w:val="center"/>
          </w:tcPr>
          <w:p w14:paraId="3E0AD8F5">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两个以上用气场所未安装可燃气体报警装置</w:t>
            </w:r>
          </w:p>
        </w:tc>
        <w:tc>
          <w:tcPr>
            <w:tcW w:w="545" w:type="pct"/>
            <w:gridSpan w:val="2"/>
            <w:shd w:val="clear" w:color="auto" w:fill="auto"/>
            <w:vAlign w:val="center"/>
          </w:tcPr>
          <w:p w14:paraId="29E2C811">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对单位可以处</w:t>
            </w:r>
            <w:r>
              <w:rPr>
                <w:rFonts w:hint="default" w:ascii="Times New Roman" w:hAnsi="Times New Roman" w:cs="Times New Roman" w:eastAsiaTheme="minorEastAsia"/>
                <w:color w:val="auto"/>
                <w:kern w:val="0"/>
                <w:sz w:val="18"/>
                <w:szCs w:val="18"/>
                <w:highlight w:val="none"/>
                <w:lang w:val="en-US" w:eastAsia="zh-CN"/>
              </w:rPr>
              <w:t>7万元以上10</w:t>
            </w:r>
            <w:r>
              <w:rPr>
                <w:rFonts w:hint="default" w:ascii="Times New Roman" w:hAnsi="Times New Roman" w:cs="Times New Roman" w:eastAsiaTheme="minorEastAsia"/>
                <w:color w:val="auto"/>
                <w:kern w:val="0"/>
                <w:sz w:val="18"/>
                <w:szCs w:val="18"/>
                <w:highlight w:val="none"/>
              </w:rPr>
              <w:t>万元以下罚款，对个人可以处</w:t>
            </w:r>
            <w:r>
              <w:rPr>
                <w:rFonts w:hint="default" w:ascii="Times New Roman" w:hAnsi="Times New Roman" w:cs="Times New Roman" w:eastAsiaTheme="minorEastAsia"/>
                <w:color w:val="auto"/>
                <w:kern w:val="0"/>
                <w:sz w:val="18"/>
                <w:szCs w:val="18"/>
                <w:highlight w:val="none"/>
                <w:lang w:val="en-US" w:eastAsia="zh-CN"/>
              </w:rPr>
              <w:t>700</w:t>
            </w:r>
            <w:r>
              <w:rPr>
                <w:rFonts w:hint="default" w:ascii="Times New Roman" w:hAnsi="Times New Roman" w:cs="Times New Roman" w:eastAsiaTheme="minorEastAsia"/>
                <w:color w:val="auto"/>
                <w:kern w:val="0"/>
                <w:sz w:val="18"/>
                <w:szCs w:val="18"/>
                <w:highlight w:val="none"/>
              </w:rPr>
              <w:t>元</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lang w:val="en-US" w:eastAsia="zh-CN"/>
              </w:rPr>
              <w:t>1000元</w:t>
            </w:r>
            <w:r>
              <w:rPr>
                <w:rFonts w:hint="default" w:ascii="Times New Roman" w:hAnsi="Times New Roman" w:cs="Times New Roman" w:eastAsiaTheme="minorEastAsia"/>
                <w:color w:val="auto"/>
                <w:kern w:val="0"/>
                <w:sz w:val="18"/>
                <w:szCs w:val="18"/>
                <w:highlight w:val="none"/>
              </w:rPr>
              <w:t>以下罚款</w:t>
            </w:r>
          </w:p>
        </w:tc>
        <w:tc>
          <w:tcPr>
            <w:tcW w:w="260" w:type="pct"/>
            <w:gridSpan w:val="3"/>
            <w:vMerge w:val="continue"/>
            <w:shd w:val="clear" w:color="auto" w:fill="auto"/>
            <w:vAlign w:val="center"/>
          </w:tcPr>
          <w:p w14:paraId="2684EC89">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329" w:type="pct"/>
            <w:gridSpan w:val="2"/>
            <w:vMerge w:val="continue"/>
            <w:shd w:val="clear" w:color="auto" w:fill="auto"/>
            <w:vAlign w:val="center"/>
          </w:tcPr>
          <w:p w14:paraId="73CD23EE">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r>
      <w:tr w14:paraId="47E5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516" w:hRule="atLeast"/>
        </w:trPr>
        <w:tc>
          <w:tcPr>
            <w:tcW w:w="116" w:type="pct"/>
            <w:vMerge w:val="restart"/>
            <w:shd w:val="clear" w:color="auto" w:fill="auto"/>
            <w:vAlign w:val="center"/>
          </w:tcPr>
          <w:p w14:paraId="0C17B448">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149</w:t>
            </w:r>
          </w:p>
        </w:tc>
        <w:tc>
          <w:tcPr>
            <w:tcW w:w="411" w:type="pct"/>
            <w:gridSpan w:val="2"/>
            <w:vMerge w:val="restart"/>
            <w:shd w:val="clear" w:color="auto" w:fill="auto"/>
            <w:vAlign w:val="center"/>
          </w:tcPr>
          <w:p w14:paraId="39D94ACA">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用明火试验是否漏气</w:t>
            </w:r>
            <w:r>
              <w:rPr>
                <w:rFonts w:hint="default" w:ascii="Times New Roman" w:hAnsi="Times New Roman" w:cs="Times New Roman" w:eastAsiaTheme="minorEastAsia"/>
                <w:color w:val="auto"/>
                <w:kern w:val="0"/>
                <w:sz w:val="18"/>
                <w:szCs w:val="18"/>
                <w:highlight w:val="none"/>
                <w:lang w:eastAsia="zh-CN"/>
              </w:rPr>
              <w:t>，逾期不改正的</w:t>
            </w:r>
          </w:p>
        </w:tc>
        <w:tc>
          <w:tcPr>
            <w:tcW w:w="1310" w:type="pct"/>
            <w:gridSpan w:val="2"/>
            <w:vMerge w:val="restart"/>
            <w:shd w:val="clear" w:color="auto" w:fill="auto"/>
            <w:vAlign w:val="center"/>
          </w:tcPr>
          <w:p w14:paraId="5CB4A2D8">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《广东省燃气管理条例》第二十八条</w:t>
            </w:r>
            <w:r>
              <w:rPr>
                <w:rFonts w:hint="default" w:ascii="Times New Roman" w:hAnsi="Times New Roman" w:cs="Times New Roman" w:eastAsiaTheme="minorEastAsia"/>
                <w:color w:val="auto"/>
                <w:kern w:val="0"/>
                <w:sz w:val="18"/>
                <w:szCs w:val="18"/>
                <w:highlight w:val="none"/>
                <w:lang w:eastAsia="zh-CN"/>
              </w:rPr>
              <w:t>第一项：“</w:t>
            </w:r>
            <w:r>
              <w:rPr>
                <w:rFonts w:hint="default" w:ascii="Times New Roman" w:hAnsi="Times New Roman" w:cs="Times New Roman" w:eastAsiaTheme="minorEastAsia"/>
                <w:color w:val="auto"/>
                <w:kern w:val="0"/>
                <w:sz w:val="18"/>
                <w:szCs w:val="18"/>
                <w:highlight w:val="none"/>
              </w:rPr>
              <w:t>任何单位和个人不得有下列行为：（一）用明火试验是否漏气；</w:t>
            </w:r>
            <w:r>
              <w:rPr>
                <w:rFonts w:hint="default" w:ascii="Times New Roman" w:hAnsi="Times New Roman" w:cs="Times New Roman" w:eastAsiaTheme="minorEastAsia"/>
                <w:color w:val="auto"/>
                <w:kern w:val="0"/>
                <w:sz w:val="18"/>
                <w:szCs w:val="18"/>
                <w:highlight w:val="none"/>
                <w:lang w:eastAsia="zh-CN"/>
              </w:rPr>
              <w:t>”</w:t>
            </w:r>
          </w:p>
        </w:tc>
        <w:tc>
          <w:tcPr>
            <w:tcW w:w="1314" w:type="pct"/>
            <w:gridSpan w:val="2"/>
            <w:vMerge w:val="restart"/>
            <w:shd w:val="clear" w:color="auto" w:fill="auto"/>
            <w:vAlign w:val="center"/>
          </w:tcPr>
          <w:p w14:paraId="7CA9F991">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《广东省燃气管理条例》第四十条</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违反本条例第二十八条第一项至第七项规定的，由县级以上人民政府燃气管理部门责令改正或限期改正；逾期不改正的，对单位可以处十万元以下的罚款，对个人可以处一千元以下罚款。</w:t>
            </w:r>
            <w:r>
              <w:rPr>
                <w:rFonts w:hint="default" w:ascii="Times New Roman" w:hAnsi="Times New Roman" w:cs="Times New Roman" w:eastAsiaTheme="minorEastAsia"/>
                <w:color w:val="auto"/>
                <w:kern w:val="0"/>
                <w:sz w:val="18"/>
                <w:szCs w:val="18"/>
                <w:highlight w:val="none"/>
                <w:lang w:eastAsia="zh-CN"/>
              </w:rPr>
              <w:t>”</w:t>
            </w:r>
          </w:p>
        </w:tc>
        <w:tc>
          <w:tcPr>
            <w:tcW w:w="177" w:type="pct"/>
            <w:gridSpan w:val="2"/>
            <w:shd w:val="clear" w:color="auto" w:fill="auto"/>
            <w:vAlign w:val="center"/>
          </w:tcPr>
          <w:p w14:paraId="50B448FB">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vAlign w:val="center"/>
          </w:tcPr>
          <w:p w14:paraId="6D82A6C0">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尚未危及燃气设施或妨碍燃气设施正常使用</w:t>
            </w:r>
          </w:p>
        </w:tc>
        <w:tc>
          <w:tcPr>
            <w:tcW w:w="545" w:type="pct"/>
            <w:gridSpan w:val="2"/>
            <w:shd w:val="clear" w:color="auto" w:fill="auto"/>
            <w:vAlign w:val="center"/>
          </w:tcPr>
          <w:p w14:paraId="09322EA5">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对单位可以处3万元以下罚款，对个人可以处300元以下罚款</w:t>
            </w:r>
          </w:p>
        </w:tc>
        <w:tc>
          <w:tcPr>
            <w:tcW w:w="260" w:type="pct"/>
            <w:gridSpan w:val="3"/>
            <w:vMerge w:val="restart"/>
            <w:shd w:val="clear" w:color="auto" w:fill="auto"/>
            <w:vAlign w:val="center"/>
          </w:tcPr>
          <w:p w14:paraId="0585C2B6">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责令改正或限期改正</w:t>
            </w:r>
          </w:p>
        </w:tc>
        <w:tc>
          <w:tcPr>
            <w:tcW w:w="329" w:type="pct"/>
            <w:gridSpan w:val="2"/>
            <w:vMerge w:val="restart"/>
            <w:shd w:val="clear" w:color="auto" w:fill="auto"/>
            <w:vAlign w:val="center"/>
          </w:tcPr>
          <w:p w14:paraId="2D94018C">
            <w:pPr>
              <w:shd w:val="clear"/>
              <w:jc w:val="left"/>
              <w:rPr>
                <w:rFonts w:hint="default" w:ascii="Times New Roman" w:hAnsi="Times New Roman" w:cs="Times New Roman" w:eastAsiaTheme="minorEastAsia"/>
                <w:color w:val="auto"/>
                <w:sz w:val="18"/>
                <w:szCs w:val="18"/>
                <w:highlight w:val="none"/>
                <w:lang w:val="en-US" w:eastAsia="zh-CN"/>
              </w:rPr>
            </w:pPr>
          </w:p>
        </w:tc>
      </w:tr>
      <w:tr w14:paraId="3FD2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516" w:hRule="atLeast"/>
        </w:trPr>
        <w:tc>
          <w:tcPr>
            <w:tcW w:w="116" w:type="pct"/>
            <w:vMerge w:val="continue"/>
            <w:shd w:val="clear" w:color="auto" w:fill="auto"/>
            <w:vAlign w:val="center"/>
          </w:tcPr>
          <w:p w14:paraId="78D7C086">
            <w:pPr>
              <w:widowControl/>
              <w:shd w:val="clear"/>
              <w:jc w:val="left"/>
              <w:textAlignment w:val="center"/>
              <w:rPr>
                <w:rFonts w:hint="default" w:ascii="Times New Roman" w:hAnsi="Times New Roman" w:cs="Times New Roman"/>
              </w:rPr>
            </w:pPr>
          </w:p>
        </w:tc>
        <w:tc>
          <w:tcPr>
            <w:tcW w:w="411" w:type="pct"/>
            <w:gridSpan w:val="2"/>
            <w:vMerge w:val="continue"/>
            <w:shd w:val="clear" w:color="auto" w:fill="auto"/>
            <w:vAlign w:val="center"/>
          </w:tcPr>
          <w:p w14:paraId="1E424002">
            <w:pPr>
              <w:widowControl/>
              <w:shd w:val="clear"/>
              <w:jc w:val="left"/>
              <w:textAlignment w:val="center"/>
              <w:rPr>
                <w:rFonts w:hint="default" w:ascii="Times New Roman" w:hAnsi="Times New Roman" w:cs="Times New Roman"/>
              </w:rPr>
            </w:pPr>
          </w:p>
        </w:tc>
        <w:tc>
          <w:tcPr>
            <w:tcW w:w="1310" w:type="pct"/>
            <w:gridSpan w:val="2"/>
            <w:vMerge w:val="continue"/>
            <w:shd w:val="clear" w:color="auto" w:fill="auto"/>
            <w:vAlign w:val="center"/>
          </w:tcPr>
          <w:p w14:paraId="3BD487CF">
            <w:pPr>
              <w:widowControl/>
              <w:shd w:val="clear"/>
              <w:jc w:val="left"/>
              <w:textAlignment w:val="center"/>
              <w:rPr>
                <w:rFonts w:hint="default" w:ascii="Times New Roman" w:hAnsi="Times New Roman" w:cs="Times New Roman"/>
              </w:rPr>
            </w:pPr>
          </w:p>
        </w:tc>
        <w:tc>
          <w:tcPr>
            <w:tcW w:w="1314" w:type="pct"/>
            <w:gridSpan w:val="2"/>
            <w:vMerge w:val="continue"/>
            <w:shd w:val="clear" w:color="auto" w:fill="auto"/>
            <w:vAlign w:val="center"/>
          </w:tcPr>
          <w:p w14:paraId="7842327C">
            <w:pPr>
              <w:widowControl/>
              <w:shd w:val="clear"/>
              <w:jc w:val="left"/>
              <w:textAlignment w:val="center"/>
              <w:rPr>
                <w:rFonts w:hint="default" w:ascii="Times New Roman" w:hAnsi="Times New Roman" w:cs="Times New Roman"/>
              </w:rPr>
            </w:pPr>
          </w:p>
        </w:tc>
        <w:tc>
          <w:tcPr>
            <w:tcW w:w="177" w:type="pct"/>
            <w:gridSpan w:val="2"/>
            <w:shd w:val="clear" w:color="auto" w:fill="auto"/>
            <w:vAlign w:val="center"/>
          </w:tcPr>
          <w:p w14:paraId="10503698">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vAlign w:val="center"/>
          </w:tcPr>
          <w:p w14:paraId="6E0F1671">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造成燃气设施损害或妨碍燃气设施正常使用，存在安全隐患</w:t>
            </w:r>
          </w:p>
        </w:tc>
        <w:tc>
          <w:tcPr>
            <w:tcW w:w="545" w:type="pct"/>
            <w:gridSpan w:val="2"/>
            <w:shd w:val="clear" w:color="auto" w:fill="auto"/>
            <w:vAlign w:val="center"/>
          </w:tcPr>
          <w:p w14:paraId="05B8F001">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对单位可以处3万元以上7万元以下罚款，对个人可以处300元以上700元以下罚款</w:t>
            </w:r>
          </w:p>
        </w:tc>
        <w:tc>
          <w:tcPr>
            <w:tcW w:w="260" w:type="pct"/>
            <w:gridSpan w:val="3"/>
            <w:vMerge w:val="continue"/>
            <w:shd w:val="clear" w:color="auto" w:fill="auto"/>
            <w:vAlign w:val="center"/>
          </w:tcPr>
          <w:p w14:paraId="4677A91E">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329" w:type="pct"/>
            <w:gridSpan w:val="2"/>
            <w:vMerge w:val="continue"/>
            <w:shd w:val="clear" w:color="auto" w:fill="auto"/>
            <w:vAlign w:val="center"/>
          </w:tcPr>
          <w:p w14:paraId="1D8BAD83">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r>
      <w:tr w14:paraId="69EE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516" w:hRule="atLeast"/>
        </w:trPr>
        <w:tc>
          <w:tcPr>
            <w:tcW w:w="116" w:type="pct"/>
            <w:vMerge w:val="continue"/>
            <w:shd w:val="clear" w:color="auto" w:fill="auto"/>
            <w:vAlign w:val="center"/>
          </w:tcPr>
          <w:p w14:paraId="43BBE8AA">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411" w:type="pct"/>
            <w:gridSpan w:val="2"/>
            <w:vMerge w:val="continue"/>
            <w:shd w:val="clear" w:color="auto" w:fill="auto"/>
            <w:vAlign w:val="center"/>
          </w:tcPr>
          <w:p w14:paraId="4579407F">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1310" w:type="pct"/>
            <w:gridSpan w:val="2"/>
            <w:vMerge w:val="continue"/>
            <w:shd w:val="clear" w:color="auto" w:fill="auto"/>
            <w:vAlign w:val="center"/>
          </w:tcPr>
          <w:p w14:paraId="15F44923">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1314" w:type="pct"/>
            <w:gridSpan w:val="2"/>
            <w:vMerge w:val="continue"/>
            <w:shd w:val="clear" w:color="auto" w:fill="auto"/>
            <w:vAlign w:val="center"/>
          </w:tcPr>
          <w:p w14:paraId="515EE546">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177" w:type="pct"/>
            <w:gridSpan w:val="2"/>
            <w:shd w:val="clear" w:color="auto" w:fill="auto"/>
            <w:vAlign w:val="center"/>
          </w:tcPr>
          <w:p w14:paraId="5F2E28E7">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vAlign w:val="center"/>
          </w:tcPr>
          <w:p w14:paraId="6438345B">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已造成安全事故</w:t>
            </w:r>
          </w:p>
        </w:tc>
        <w:tc>
          <w:tcPr>
            <w:tcW w:w="545" w:type="pct"/>
            <w:gridSpan w:val="2"/>
            <w:shd w:val="clear" w:color="auto" w:fill="auto"/>
            <w:vAlign w:val="center"/>
          </w:tcPr>
          <w:p w14:paraId="402DE618">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对单位可以处7万元以上10万元以下罚款，对个人可以处700元以上1000元以下罚款</w:t>
            </w:r>
          </w:p>
        </w:tc>
        <w:tc>
          <w:tcPr>
            <w:tcW w:w="260" w:type="pct"/>
            <w:gridSpan w:val="3"/>
            <w:vMerge w:val="continue"/>
            <w:shd w:val="clear" w:color="auto" w:fill="auto"/>
            <w:vAlign w:val="center"/>
          </w:tcPr>
          <w:p w14:paraId="087006FB">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329" w:type="pct"/>
            <w:gridSpan w:val="2"/>
            <w:vMerge w:val="continue"/>
            <w:shd w:val="clear" w:color="auto" w:fill="auto"/>
            <w:vAlign w:val="center"/>
          </w:tcPr>
          <w:p w14:paraId="112472C2">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r>
      <w:tr w14:paraId="3D52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516" w:hRule="atLeast"/>
        </w:trPr>
        <w:tc>
          <w:tcPr>
            <w:tcW w:w="116" w:type="pct"/>
            <w:vMerge w:val="restart"/>
            <w:shd w:val="clear" w:color="auto" w:fill="auto"/>
            <w:vAlign w:val="center"/>
          </w:tcPr>
          <w:p w14:paraId="2E19A66B">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150</w:t>
            </w:r>
          </w:p>
        </w:tc>
        <w:tc>
          <w:tcPr>
            <w:tcW w:w="411" w:type="pct"/>
            <w:gridSpan w:val="2"/>
            <w:vMerge w:val="restart"/>
            <w:shd w:val="clear" w:color="auto" w:fill="auto"/>
            <w:vAlign w:val="center"/>
          </w:tcPr>
          <w:p w14:paraId="5C64129E">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自行拆卸、维修、改装气瓶阀门或者清除气瓶内的残液</w:t>
            </w:r>
            <w:r>
              <w:rPr>
                <w:rFonts w:hint="default" w:ascii="Times New Roman" w:hAnsi="Times New Roman" w:cs="Times New Roman" w:eastAsiaTheme="minorEastAsia"/>
                <w:color w:val="auto"/>
                <w:kern w:val="0"/>
                <w:sz w:val="18"/>
                <w:szCs w:val="18"/>
                <w:highlight w:val="none"/>
                <w:lang w:eastAsia="zh-CN"/>
              </w:rPr>
              <w:t>，逾期不改正的</w:t>
            </w:r>
          </w:p>
        </w:tc>
        <w:tc>
          <w:tcPr>
            <w:tcW w:w="1310" w:type="pct"/>
            <w:gridSpan w:val="2"/>
            <w:vMerge w:val="restart"/>
            <w:shd w:val="clear" w:color="auto" w:fill="auto"/>
            <w:vAlign w:val="center"/>
          </w:tcPr>
          <w:p w14:paraId="48E18991">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《广东省燃气管理条例》第二十八条</w:t>
            </w:r>
            <w:r>
              <w:rPr>
                <w:rFonts w:hint="default" w:ascii="Times New Roman" w:hAnsi="Times New Roman" w:cs="Times New Roman" w:eastAsiaTheme="minorEastAsia"/>
                <w:color w:val="auto"/>
                <w:kern w:val="0"/>
                <w:sz w:val="18"/>
                <w:szCs w:val="18"/>
                <w:highlight w:val="none"/>
                <w:lang w:eastAsia="zh-CN"/>
              </w:rPr>
              <w:t>第二项：“</w:t>
            </w:r>
            <w:r>
              <w:rPr>
                <w:rFonts w:hint="default" w:ascii="Times New Roman" w:hAnsi="Times New Roman" w:cs="Times New Roman" w:eastAsiaTheme="minorEastAsia"/>
                <w:color w:val="auto"/>
                <w:kern w:val="0"/>
                <w:sz w:val="18"/>
                <w:szCs w:val="18"/>
                <w:highlight w:val="none"/>
              </w:rPr>
              <w:t>任何单位和个人不得有下列行为：（二）自行拆卸、维修、改装气瓶阀门或者清除气瓶内的残液；</w:t>
            </w:r>
            <w:r>
              <w:rPr>
                <w:rFonts w:hint="default" w:ascii="Times New Roman" w:hAnsi="Times New Roman" w:cs="Times New Roman" w:eastAsiaTheme="minorEastAsia"/>
                <w:color w:val="auto"/>
                <w:kern w:val="0"/>
                <w:sz w:val="18"/>
                <w:szCs w:val="18"/>
                <w:highlight w:val="none"/>
                <w:lang w:eastAsia="zh-CN"/>
              </w:rPr>
              <w:t>”</w:t>
            </w:r>
          </w:p>
        </w:tc>
        <w:tc>
          <w:tcPr>
            <w:tcW w:w="1314" w:type="pct"/>
            <w:gridSpan w:val="2"/>
            <w:vMerge w:val="restart"/>
            <w:shd w:val="clear" w:color="auto" w:fill="auto"/>
            <w:vAlign w:val="center"/>
          </w:tcPr>
          <w:p w14:paraId="37E39EA4">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《广东省燃气管理条例》第四十条</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违反本条例第二十八条第一项至第七项规定的，由县级以上人民政府燃气管理部门责令改正或限期改正；逾期不改正的，对单位可以处十万元以下的罚款，对个人可以处一千元以下罚款。</w:t>
            </w:r>
            <w:r>
              <w:rPr>
                <w:rFonts w:hint="default" w:ascii="Times New Roman" w:hAnsi="Times New Roman" w:cs="Times New Roman" w:eastAsiaTheme="minorEastAsia"/>
                <w:color w:val="auto"/>
                <w:kern w:val="0"/>
                <w:sz w:val="18"/>
                <w:szCs w:val="18"/>
                <w:highlight w:val="none"/>
                <w:lang w:eastAsia="zh-CN"/>
              </w:rPr>
              <w:t>”</w:t>
            </w:r>
          </w:p>
        </w:tc>
        <w:tc>
          <w:tcPr>
            <w:tcW w:w="177" w:type="pct"/>
            <w:gridSpan w:val="2"/>
            <w:shd w:val="clear" w:color="auto" w:fill="auto"/>
            <w:vAlign w:val="center"/>
          </w:tcPr>
          <w:p w14:paraId="0EFFD41B">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vAlign w:val="center"/>
          </w:tcPr>
          <w:p w14:paraId="2616E3C3">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自行拆卸、维修、改装气瓶阀门或者清除气瓶内的残液3瓶（次</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vAlign w:val="center"/>
          </w:tcPr>
          <w:p w14:paraId="4793EA09">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对单位可以处3万元以下罚款，对个人可以处300元以下罚款</w:t>
            </w:r>
          </w:p>
        </w:tc>
        <w:tc>
          <w:tcPr>
            <w:tcW w:w="260" w:type="pct"/>
            <w:gridSpan w:val="3"/>
            <w:vMerge w:val="restart"/>
            <w:shd w:val="clear" w:color="auto" w:fill="auto"/>
            <w:vAlign w:val="center"/>
          </w:tcPr>
          <w:p w14:paraId="1ABCA42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责令改正或限期改正</w:t>
            </w:r>
          </w:p>
        </w:tc>
        <w:tc>
          <w:tcPr>
            <w:tcW w:w="329" w:type="pct"/>
            <w:gridSpan w:val="2"/>
            <w:vMerge w:val="restart"/>
            <w:shd w:val="clear" w:color="auto" w:fill="auto"/>
            <w:vAlign w:val="center"/>
          </w:tcPr>
          <w:p w14:paraId="43FEB65D">
            <w:pPr>
              <w:shd w:val="clear"/>
              <w:jc w:val="left"/>
              <w:rPr>
                <w:rFonts w:hint="default" w:ascii="Times New Roman" w:hAnsi="Times New Roman" w:cs="Times New Roman" w:eastAsiaTheme="minorEastAsia"/>
                <w:color w:val="auto"/>
                <w:sz w:val="18"/>
                <w:szCs w:val="18"/>
                <w:highlight w:val="none"/>
                <w:lang w:val="en-US" w:eastAsia="zh-CN"/>
              </w:rPr>
            </w:pPr>
          </w:p>
        </w:tc>
      </w:tr>
      <w:tr w14:paraId="076F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516" w:hRule="atLeast"/>
        </w:trPr>
        <w:tc>
          <w:tcPr>
            <w:tcW w:w="116" w:type="pct"/>
            <w:vMerge w:val="continue"/>
            <w:shd w:val="clear" w:color="auto" w:fill="auto"/>
            <w:vAlign w:val="center"/>
          </w:tcPr>
          <w:p w14:paraId="0D366A47">
            <w:pPr>
              <w:widowControl/>
              <w:shd w:val="clear"/>
              <w:jc w:val="left"/>
              <w:textAlignment w:val="center"/>
              <w:rPr>
                <w:rFonts w:hint="default" w:ascii="Times New Roman" w:hAnsi="Times New Roman" w:cs="Times New Roman"/>
              </w:rPr>
            </w:pPr>
          </w:p>
        </w:tc>
        <w:tc>
          <w:tcPr>
            <w:tcW w:w="411" w:type="pct"/>
            <w:gridSpan w:val="2"/>
            <w:vMerge w:val="continue"/>
            <w:shd w:val="clear" w:color="auto" w:fill="auto"/>
            <w:vAlign w:val="center"/>
          </w:tcPr>
          <w:p w14:paraId="37804A75">
            <w:pPr>
              <w:widowControl/>
              <w:shd w:val="clear"/>
              <w:jc w:val="left"/>
              <w:textAlignment w:val="center"/>
              <w:rPr>
                <w:rFonts w:hint="default" w:ascii="Times New Roman" w:hAnsi="Times New Roman" w:cs="Times New Roman"/>
              </w:rPr>
            </w:pPr>
          </w:p>
        </w:tc>
        <w:tc>
          <w:tcPr>
            <w:tcW w:w="1310" w:type="pct"/>
            <w:gridSpan w:val="2"/>
            <w:vMerge w:val="continue"/>
            <w:shd w:val="clear" w:color="auto" w:fill="auto"/>
            <w:vAlign w:val="center"/>
          </w:tcPr>
          <w:p w14:paraId="77A68DDC">
            <w:pPr>
              <w:widowControl/>
              <w:shd w:val="clear"/>
              <w:jc w:val="left"/>
              <w:textAlignment w:val="center"/>
              <w:rPr>
                <w:rFonts w:hint="default" w:ascii="Times New Roman" w:hAnsi="Times New Roman" w:cs="Times New Roman"/>
              </w:rPr>
            </w:pPr>
          </w:p>
        </w:tc>
        <w:tc>
          <w:tcPr>
            <w:tcW w:w="1314" w:type="pct"/>
            <w:gridSpan w:val="2"/>
            <w:vMerge w:val="continue"/>
            <w:shd w:val="clear" w:color="auto" w:fill="auto"/>
            <w:vAlign w:val="center"/>
          </w:tcPr>
          <w:p w14:paraId="7B6E8E99">
            <w:pPr>
              <w:widowControl/>
              <w:shd w:val="clear"/>
              <w:jc w:val="left"/>
              <w:textAlignment w:val="center"/>
              <w:rPr>
                <w:rFonts w:hint="default" w:ascii="Times New Roman" w:hAnsi="Times New Roman" w:cs="Times New Roman"/>
              </w:rPr>
            </w:pPr>
          </w:p>
        </w:tc>
        <w:tc>
          <w:tcPr>
            <w:tcW w:w="177" w:type="pct"/>
            <w:gridSpan w:val="2"/>
            <w:shd w:val="clear" w:color="auto" w:fill="auto"/>
            <w:vAlign w:val="center"/>
          </w:tcPr>
          <w:p w14:paraId="2347AAEE">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vAlign w:val="center"/>
          </w:tcPr>
          <w:p w14:paraId="222B5441">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自行拆卸、维修、改装气瓶阀门或者</w:t>
            </w:r>
            <w:r>
              <w:rPr>
                <w:rFonts w:hint="default" w:ascii="Times New Roman" w:hAnsi="Times New Roman" w:cs="Times New Roman" w:eastAsiaTheme="minorEastAsia"/>
                <w:color w:val="auto"/>
                <w:kern w:val="0"/>
                <w:sz w:val="18"/>
                <w:szCs w:val="18"/>
                <w:highlight w:val="none"/>
                <w:lang w:eastAsia="zh-CN"/>
              </w:rPr>
              <w:t>清除气瓶内的残液3瓶（次）以上5瓶（次）以下</w:t>
            </w:r>
          </w:p>
        </w:tc>
        <w:tc>
          <w:tcPr>
            <w:tcW w:w="545" w:type="pct"/>
            <w:gridSpan w:val="2"/>
            <w:shd w:val="clear" w:color="auto" w:fill="auto"/>
            <w:vAlign w:val="center"/>
          </w:tcPr>
          <w:p w14:paraId="069BD02C">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对单位可以处3万元以上7万元以下罚款，对个人可以处300元以上700元以下罚款</w:t>
            </w:r>
          </w:p>
        </w:tc>
        <w:tc>
          <w:tcPr>
            <w:tcW w:w="260" w:type="pct"/>
            <w:gridSpan w:val="3"/>
            <w:vMerge w:val="continue"/>
            <w:shd w:val="clear" w:color="auto" w:fill="auto"/>
            <w:vAlign w:val="center"/>
          </w:tcPr>
          <w:p w14:paraId="2A57020C">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329" w:type="pct"/>
            <w:gridSpan w:val="2"/>
            <w:vMerge w:val="continue"/>
            <w:shd w:val="clear" w:color="auto" w:fill="auto"/>
            <w:vAlign w:val="center"/>
          </w:tcPr>
          <w:p w14:paraId="2050FA4B">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r>
      <w:tr w14:paraId="21B6B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516" w:hRule="atLeast"/>
        </w:trPr>
        <w:tc>
          <w:tcPr>
            <w:tcW w:w="116" w:type="pct"/>
            <w:vMerge w:val="continue"/>
            <w:shd w:val="clear" w:color="auto" w:fill="auto"/>
            <w:vAlign w:val="center"/>
          </w:tcPr>
          <w:p w14:paraId="17448A8E">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411" w:type="pct"/>
            <w:gridSpan w:val="2"/>
            <w:vMerge w:val="continue"/>
            <w:shd w:val="clear" w:color="auto" w:fill="auto"/>
            <w:vAlign w:val="center"/>
          </w:tcPr>
          <w:p w14:paraId="1C9FE485">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1310" w:type="pct"/>
            <w:gridSpan w:val="2"/>
            <w:vMerge w:val="continue"/>
            <w:shd w:val="clear" w:color="auto" w:fill="auto"/>
            <w:vAlign w:val="center"/>
          </w:tcPr>
          <w:p w14:paraId="3A90D11D">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1314" w:type="pct"/>
            <w:gridSpan w:val="2"/>
            <w:vMerge w:val="continue"/>
            <w:shd w:val="clear" w:color="auto" w:fill="auto"/>
            <w:vAlign w:val="center"/>
          </w:tcPr>
          <w:p w14:paraId="2CB80BE4">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177" w:type="pct"/>
            <w:gridSpan w:val="2"/>
            <w:shd w:val="clear" w:color="auto" w:fill="auto"/>
            <w:vAlign w:val="center"/>
          </w:tcPr>
          <w:p w14:paraId="12D817F7">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vAlign w:val="center"/>
          </w:tcPr>
          <w:p w14:paraId="20C611F8">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自行拆卸、维修、改装气瓶阀门或者</w:t>
            </w:r>
            <w:r>
              <w:rPr>
                <w:rFonts w:hint="default" w:ascii="Times New Roman" w:hAnsi="Times New Roman" w:cs="Times New Roman" w:eastAsiaTheme="minorEastAsia"/>
                <w:color w:val="auto"/>
                <w:kern w:val="0"/>
                <w:sz w:val="18"/>
                <w:szCs w:val="18"/>
                <w:highlight w:val="none"/>
                <w:lang w:eastAsia="zh-CN"/>
              </w:rPr>
              <w:t>清除气瓶内的残液5瓶（次）以上</w:t>
            </w:r>
          </w:p>
        </w:tc>
        <w:tc>
          <w:tcPr>
            <w:tcW w:w="545" w:type="pct"/>
            <w:gridSpan w:val="2"/>
            <w:shd w:val="clear" w:color="auto" w:fill="auto"/>
            <w:vAlign w:val="center"/>
          </w:tcPr>
          <w:p w14:paraId="109FEF98">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对单位可以处7万元以上10万元以下罚款，对个人可以处700元以上1000元以下罚款</w:t>
            </w:r>
          </w:p>
        </w:tc>
        <w:tc>
          <w:tcPr>
            <w:tcW w:w="260" w:type="pct"/>
            <w:gridSpan w:val="3"/>
            <w:vMerge w:val="continue"/>
            <w:shd w:val="clear" w:color="auto" w:fill="auto"/>
            <w:vAlign w:val="center"/>
          </w:tcPr>
          <w:p w14:paraId="6AB9B92C">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329" w:type="pct"/>
            <w:gridSpan w:val="2"/>
            <w:vMerge w:val="continue"/>
            <w:shd w:val="clear" w:color="auto" w:fill="auto"/>
            <w:vAlign w:val="center"/>
          </w:tcPr>
          <w:p w14:paraId="7CEEB1C7">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r>
      <w:tr w14:paraId="5D6E9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516" w:hRule="atLeast"/>
        </w:trPr>
        <w:tc>
          <w:tcPr>
            <w:tcW w:w="116" w:type="pct"/>
            <w:vMerge w:val="restart"/>
            <w:shd w:val="clear" w:color="auto" w:fill="auto"/>
            <w:vAlign w:val="center"/>
          </w:tcPr>
          <w:p w14:paraId="3EC87F51">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151</w:t>
            </w:r>
          </w:p>
        </w:tc>
        <w:tc>
          <w:tcPr>
            <w:tcW w:w="411" w:type="pct"/>
            <w:gridSpan w:val="2"/>
            <w:vMerge w:val="restart"/>
            <w:shd w:val="clear" w:color="auto" w:fill="auto"/>
            <w:vAlign w:val="center"/>
          </w:tcPr>
          <w:p w14:paraId="4A77CD44">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气瓶与气瓶互相过气</w:t>
            </w:r>
            <w:r>
              <w:rPr>
                <w:rFonts w:hint="default" w:ascii="Times New Roman" w:hAnsi="Times New Roman" w:cs="Times New Roman" w:eastAsiaTheme="minorEastAsia"/>
                <w:color w:val="auto"/>
                <w:kern w:val="0"/>
                <w:sz w:val="18"/>
                <w:szCs w:val="18"/>
                <w:highlight w:val="none"/>
                <w:lang w:eastAsia="zh-CN"/>
              </w:rPr>
              <w:t>，逾期不改正的</w:t>
            </w:r>
          </w:p>
        </w:tc>
        <w:tc>
          <w:tcPr>
            <w:tcW w:w="1310" w:type="pct"/>
            <w:gridSpan w:val="2"/>
            <w:vMerge w:val="restart"/>
            <w:shd w:val="clear" w:color="auto" w:fill="auto"/>
            <w:vAlign w:val="center"/>
          </w:tcPr>
          <w:p w14:paraId="5C1D8999">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《广东省燃气管理条例》第二十八条</w:t>
            </w:r>
            <w:r>
              <w:rPr>
                <w:rFonts w:hint="default" w:ascii="Times New Roman" w:hAnsi="Times New Roman" w:cs="Times New Roman" w:eastAsiaTheme="minorEastAsia"/>
                <w:color w:val="auto"/>
                <w:kern w:val="0"/>
                <w:sz w:val="18"/>
                <w:szCs w:val="18"/>
                <w:highlight w:val="none"/>
                <w:lang w:eastAsia="zh-CN"/>
              </w:rPr>
              <w:t>第三项：“</w:t>
            </w:r>
            <w:r>
              <w:rPr>
                <w:rFonts w:hint="default" w:ascii="Times New Roman" w:hAnsi="Times New Roman" w:cs="Times New Roman" w:eastAsiaTheme="minorEastAsia"/>
                <w:color w:val="auto"/>
                <w:kern w:val="0"/>
                <w:sz w:val="18"/>
                <w:szCs w:val="18"/>
                <w:highlight w:val="none"/>
              </w:rPr>
              <w:t>任何单位和个人不得有下列行为：（三）气瓶与气瓶互相过气；</w:t>
            </w:r>
            <w:r>
              <w:rPr>
                <w:rFonts w:hint="default" w:ascii="Times New Roman" w:hAnsi="Times New Roman" w:cs="Times New Roman" w:eastAsiaTheme="minorEastAsia"/>
                <w:color w:val="auto"/>
                <w:kern w:val="0"/>
                <w:sz w:val="18"/>
                <w:szCs w:val="18"/>
                <w:highlight w:val="none"/>
                <w:lang w:eastAsia="zh-CN"/>
              </w:rPr>
              <w:t>”</w:t>
            </w:r>
          </w:p>
        </w:tc>
        <w:tc>
          <w:tcPr>
            <w:tcW w:w="1314" w:type="pct"/>
            <w:gridSpan w:val="2"/>
            <w:vMerge w:val="restart"/>
            <w:shd w:val="clear" w:color="auto" w:fill="auto"/>
            <w:vAlign w:val="center"/>
          </w:tcPr>
          <w:p w14:paraId="7A372948">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《广东省燃气管理条例》第四十条</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违反本条例第二十八条第一项至第七项规定的，由县级以上人民政府燃气管理部门责令改正或限期改正；逾期不改正的，对单位可以处十万元以下的罚款，对个人可以处一千元以下罚款。</w:t>
            </w:r>
            <w:r>
              <w:rPr>
                <w:rFonts w:hint="default" w:ascii="Times New Roman" w:hAnsi="Times New Roman" w:cs="Times New Roman" w:eastAsiaTheme="minorEastAsia"/>
                <w:color w:val="auto"/>
                <w:kern w:val="0"/>
                <w:sz w:val="18"/>
                <w:szCs w:val="18"/>
                <w:highlight w:val="none"/>
                <w:lang w:eastAsia="zh-CN"/>
              </w:rPr>
              <w:t>”</w:t>
            </w:r>
          </w:p>
        </w:tc>
        <w:tc>
          <w:tcPr>
            <w:tcW w:w="177" w:type="pct"/>
            <w:gridSpan w:val="2"/>
            <w:shd w:val="clear" w:color="auto" w:fill="auto"/>
            <w:vAlign w:val="center"/>
          </w:tcPr>
          <w:p w14:paraId="64CCE454">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vAlign w:val="center"/>
          </w:tcPr>
          <w:p w14:paraId="419A4CE2">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互相过气3瓶（次）</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vAlign w:val="center"/>
          </w:tcPr>
          <w:p w14:paraId="1596E04E">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对单位可以处3万元以下罚款，对个人可以处300元以下罚款</w:t>
            </w:r>
          </w:p>
        </w:tc>
        <w:tc>
          <w:tcPr>
            <w:tcW w:w="260" w:type="pct"/>
            <w:gridSpan w:val="3"/>
            <w:vMerge w:val="restart"/>
            <w:shd w:val="clear" w:color="auto" w:fill="auto"/>
            <w:vAlign w:val="center"/>
          </w:tcPr>
          <w:p w14:paraId="3C75DCFC">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责令改正或限期改正</w:t>
            </w:r>
          </w:p>
        </w:tc>
        <w:tc>
          <w:tcPr>
            <w:tcW w:w="329" w:type="pct"/>
            <w:gridSpan w:val="2"/>
            <w:vMerge w:val="restart"/>
            <w:shd w:val="clear" w:color="auto" w:fill="auto"/>
            <w:vAlign w:val="center"/>
          </w:tcPr>
          <w:p w14:paraId="1513307E">
            <w:pPr>
              <w:shd w:val="clear"/>
              <w:jc w:val="left"/>
              <w:rPr>
                <w:rFonts w:hint="default" w:ascii="Times New Roman" w:hAnsi="Times New Roman" w:cs="Times New Roman" w:eastAsiaTheme="minorEastAsia"/>
                <w:color w:val="auto"/>
                <w:sz w:val="18"/>
                <w:szCs w:val="18"/>
                <w:highlight w:val="none"/>
                <w:lang w:val="en-US" w:eastAsia="zh-CN"/>
              </w:rPr>
            </w:pPr>
          </w:p>
        </w:tc>
      </w:tr>
      <w:tr w14:paraId="5977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516" w:hRule="atLeast"/>
        </w:trPr>
        <w:tc>
          <w:tcPr>
            <w:tcW w:w="116" w:type="pct"/>
            <w:vMerge w:val="continue"/>
            <w:shd w:val="clear" w:color="auto" w:fill="auto"/>
            <w:vAlign w:val="center"/>
          </w:tcPr>
          <w:p w14:paraId="5174ED0A">
            <w:pPr>
              <w:widowControl/>
              <w:shd w:val="clear"/>
              <w:jc w:val="left"/>
              <w:textAlignment w:val="center"/>
              <w:rPr>
                <w:rFonts w:hint="default" w:ascii="Times New Roman" w:hAnsi="Times New Roman" w:cs="Times New Roman"/>
              </w:rPr>
            </w:pPr>
          </w:p>
        </w:tc>
        <w:tc>
          <w:tcPr>
            <w:tcW w:w="411" w:type="pct"/>
            <w:gridSpan w:val="2"/>
            <w:vMerge w:val="continue"/>
            <w:shd w:val="clear" w:color="auto" w:fill="auto"/>
            <w:vAlign w:val="center"/>
          </w:tcPr>
          <w:p w14:paraId="06EA8894">
            <w:pPr>
              <w:widowControl/>
              <w:shd w:val="clear"/>
              <w:jc w:val="left"/>
              <w:textAlignment w:val="center"/>
              <w:rPr>
                <w:rFonts w:hint="default" w:ascii="Times New Roman" w:hAnsi="Times New Roman" w:cs="Times New Roman"/>
              </w:rPr>
            </w:pPr>
          </w:p>
        </w:tc>
        <w:tc>
          <w:tcPr>
            <w:tcW w:w="1310" w:type="pct"/>
            <w:gridSpan w:val="2"/>
            <w:vMerge w:val="continue"/>
            <w:shd w:val="clear" w:color="auto" w:fill="auto"/>
            <w:vAlign w:val="center"/>
          </w:tcPr>
          <w:p w14:paraId="166624F1">
            <w:pPr>
              <w:widowControl/>
              <w:shd w:val="clear"/>
              <w:jc w:val="left"/>
              <w:textAlignment w:val="center"/>
              <w:rPr>
                <w:rFonts w:hint="default" w:ascii="Times New Roman" w:hAnsi="Times New Roman" w:cs="Times New Roman"/>
              </w:rPr>
            </w:pPr>
          </w:p>
        </w:tc>
        <w:tc>
          <w:tcPr>
            <w:tcW w:w="1314" w:type="pct"/>
            <w:gridSpan w:val="2"/>
            <w:vMerge w:val="continue"/>
            <w:shd w:val="clear" w:color="auto" w:fill="auto"/>
            <w:vAlign w:val="center"/>
          </w:tcPr>
          <w:p w14:paraId="45A8EB5F">
            <w:pPr>
              <w:widowControl/>
              <w:shd w:val="clear"/>
              <w:jc w:val="left"/>
              <w:textAlignment w:val="center"/>
              <w:rPr>
                <w:rFonts w:hint="default" w:ascii="Times New Roman" w:hAnsi="Times New Roman" w:cs="Times New Roman"/>
              </w:rPr>
            </w:pPr>
          </w:p>
        </w:tc>
        <w:tc>
          <w:tcPr>
            <w:tcW w:w="177" w:type="pct"/>
            <w:gridSpan w:val="2"/>
            <w:shd w:val="clear" w:color="auto" w:fill="auto"/>
            <w:vAlign w:val="center"/>
          </w:tcPr>
          <w:p w14:paraId="528B8AD0">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vAlign w:val="center"/>
          </w:tcPr>
          <w:p w14:paraId="79038DC4">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互相过气3瓶（次）以上5瓶（次）以下</w:t>
            </w:r>
          </w:p>
        </w:tc>
        <w:tc>
          <w:tcPr>
            <w:tcW w:w="545" w:type="pct"/>
            <w:gridSpan w:val="2"/>
            <w:shd w:val="clear" w:color="auto" w:fill="auto"/>
            <w:vAlign w:val="center"/>
          </w:tcPr>
          <w:p w14:paraId="675C2B54">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对单位可以处3万元以上7万元以下罚款，对个人可以处300元以上700元以下罚款</w:t>
            </w:r>
          </w:p>
        </w:tc>
        <w:tc>
          <w:tcPr>
            <w:tcW w:w="260" w:type="pct"/>
            <w:gridSpan w:val="3"/>
            <w:vMerge w:val="continue"/>
            <w:shd w:val="clear" w:color="auto" w:fill="auto"/>
            <w:vAlign w:val="center"/>
          </w:tcPr>
          <w:p w14:paraId="162B79B1">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329" w:type="pct"/>
            <w:gridSpan w:val="2"/>
            <w:vMerge w:val="continue"/>
            <w:shd w:val="clear" w:color="auto" w:fill="auto"/>
            <w:vAlign w:val="center"/>
          </w:tcPr>
          <w:p w14:paraId="53ADE67E">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r>
      <w:tr w14:paraId="04D9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516" w:hRule="atLeast"/>
        </w:trPr>
        <w:tc>
          <w:tcPr>
            <w:tcW w:w="116" w:type="pct"/>
            <w:vMerge w:val="continue"/>
            <w:shd w:val="clear" w:color="auto" w:fill="auto"/>
            <w:vAlign w:val="center"/>
          </w:tcPr>
          <w:p w14:paraId="20E386AE">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411" w:type="pct"/>
            <w:gridSpan w:val="2"/>
            <w:vMerge w:val="continue"/>
            <w:shd w:val="clear" w:color="auto" w:fill="auto"/>
            <w:vAlign w:val="center"/>
          </w:tcPr>
          <w:p w14:paraId="1041FD3F">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1310" w:type="pct"/>
            <w:gridSpan w:val="2"/>
            <w:vMerge w:val="continue"/>
            <w:shd w:val="clear" w:color="auto" w:fill="auto"/>
            <w:vAlign w:val="center"/>
          </w:tcPr>
          <w:p w14:paraId="20809B3B">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1314" w:type="pct"/>
            <w:gridSpan w:val="2"/>
            <w:vMerge w:val="continue"/>
            <w:shd w:val="clear" w:color="auto" w:fill="auto"/>
            <w:vAlign w:val="center"/>
          </w:tcPr>
          <w:p w14:paraId="5A4435E7">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177" w:type="pct"/>
            <w:gridSpan w:val="2"/>
            <w:shd w:val="clear" w:color="auto" w:fill="auto"/>
            <w:vAlign w:val="center"/>
          </w:tcPr>
          <w:p w14:paraId="13B7F352">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vAlign w:val="center"/>
          </w:tcPr>
          <w:p w14:paraId="54A39049">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互相过气5瓶（次）以上</w:t>
            </w:r>
          </w:p>
        </w:tc>
        <w:tc>
          <w:tcPr>
            <w:tcW w:w="545" w:type="pct"/>
            <w:gridSpan w:val="2"/>
            <w:shd w:val="clear" w:color="auto" w:fill="auto"/>
            <w:vAlign w:val="center"/>
          </w:tcPr>
          <w:p w14:paraId="4E70E078">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对单位可以处7万元以上10万元以下罚款，对个人可以处700元以上1000元以下罚款</w:t>
            </w:r>
          </w:p>
        </w:tc>
        <w:tc>
          <w:tcPr>
            <w:tcW w:w="260" w:type="pct"/>
            <w:gridSpan w:val="3"/>
            <w:vMerge w:val="continue"/>
            <w:shd w:val="clear" w:color="auto" w:fill="auto"/>
            <w:vAlign w:val="center"/>
          </w:tcPr>
          <w:p w14:paraId="77DEE537">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329" w:type="pct"/>
            <w:gridSpan w:val="2"/>
            <w:vMerge w:val="continue"/>
            <w:shd w:val="clear" w:color="auto" w:fill="auto"/>
            <w:vAlign w:val="center"/>
          </w:tcPr>
          <w:p w14:paraId="3F45CB01">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r>
      <w:tr w14:paraId="4D93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620" w:hRule="atLeast"/>
        </w:trPr>
        <w:tc>
          <w:tcPr>
            <w:tcW w:w="116" w:type="pct"/>
            <w:vMerge w:val="restart"/>
            <w:shd w:val="clear" w:color="auto" w:fill="auto"/>
            <w:vAlign w:val="center"/>
          </w:tcPr>
          <w:p w14:paraId="7275CA31">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152</w:t>
            </w:r>
          </w:p>
        </w:tc>
        <w:tc>
          <w:tcPr>
            <w:tcW w:w="411" w:type="pct"/>
            <w:gridSpan w:val="2"/>
            <w:vMerge w:val="restart"/>
            <w:shd w:val="clear" w:color="auto" w:fill="auto"/>
            <w:vAlign w:val="center"/>
          </w:tcPr>
          <w:p w14:paraId="34D6D5A7">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给残液量超过规定的气瓶充装燃气，用储罐、槽车直接向气瓶充装燃气</w:t>
            </w:r>
            <w:r>
              <w:rPr>
                <w:rFonts w:hint="default" w:ascii="Times New Roman" w:hAnsi="Times New Roman" w:cs="Times New Roman" w:eastAsiaTheme="minorEastAsia"/>
                <w:color w:val="auto"/>
                <w:kern w:val="0"/>
                <w:sz w:val="18"/>
                <w:szCs w:val="18"/>
                <w:highlight w:val="none"/>
                <w:lang w:eastAsia="zh-CN"/>
              </w:rPr>
              <w:t>，逾期不改正的</w:t>
            </w:r>
          </w:p>
        </w:tc>
        <w:tc>
          <w:tcPr>
            <w:tcW w:w="1310" w:type="pct"/>
            <w:gridSpan w:val="2"/>
            <w:vMerge w:val="restart"/>
            <w:shd w:val="clear" w:color="auto" w:fill="auto"/>
            <w:vAlign w:val="center"/>
          </w:tcPr>
          <w:p w14:paraId="2E61828D">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《广东省燃气管理条例》第二十八条</w:t>
            </w:r>
            <w:r>
              <w:rPr>
                <w:rFonts w:hint="default" w:ascii="Times New Roman" w:hAnsi="Times New Roman" w:cs="Times New Roman" w:eastAsiaTheme="minorEastAsia"/>
                <w:color w:val="auto"/>
                <w:kern w:val="0"/>
                <w:sz w:val="18"/>
                <w:szCs w:val="18"/>
                <w:highlight w:val="none"/>
                <w:lang w:eastAsia="zh-CN"/>
              </w:rPr>
              <w:t>第四项：“</w:t>
            </w:r>
            <w:r>
              <w:rPr>
                <w:rFonts w:hint="default" w:ascii="Times New Roman" w:hAnsi="Times New Roman" w:cs="Times New Roman" w:eastAsiaTheme="minorEastAsia"/>
                <w:color w:val="auto"/>
                <w:kern w:val="0"/>
                <w:sz w:val="18"/>
                <w:szCs w:val="18"/>
                <w:highlight w:val="none"/>
              </w:rPr>
              <w:t>任何单位和个人不得有下列行为：（四）给残液量超过规定的气瓶充装燃气，用储罐、槽车直接向气瓶充装燃气；</w:t>
            </w:r>
            <w:r>
              <w:rPr>
                <w:rFonts w:hint="default" w:ascii="Times New Roman" w:hAnsi="Times New Roman" w:cs="Times New Roman" w:eastAsiaTheme="minorEastAsia"/>
                <w:color w:val="auto"/>
                <w:kern w:val="0"/>
                <w:sz w:val="18"/>
                <w:szCs w:val="18"/>
                <w:highlight w:val="none"/>
                <w:lang w:eastAsia="zh-CN"/>
              </w:rPr>
              <w:t>”</w:t>
            </w:r>
          </w:p>
        </w:tc>
        <w:tc>
          <w:tcPr>
            <w:tcW w:w="1314" w:type="pct"/>
            <w:gridSpan w:val="2"/>
            <w:vMerge w:val="restart"/>
            <w:shd w:val="clear" w:color="auto" w:fill="auto"/>
            <w:vAlign w:val="center"/>
          </w:tcPr>
          <w:p w14:paraId="0D7D54B3">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《广东省燃气管理条例》第四十条</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违反本条例第二十八条第一项至第七项规定的，由县级以上人民政府燃气管理部门责令改正或限期改正；逾期不改正的，对单位可以处十万元以下的罚款，对个人可以处一千元以下罚款。</w:t>
            </w:r>
            <w:r>
              <w:rPr>
                <w:rFonts w:hint="default" w:ascii="Times New Roman" w:hAnsi="Times New Roman" w:cs="Times New Roman" w:eastAsiaTheme="minorEastAsia"/>
                <w:color w:val="auto"/>
                <w:kern w:val="0"/>
                <w:sz w:val="18"/>
                <w:szCs w:val="18"/>
                <w:highlight w:val="none"/>
                <w:lang w:eastAsia="zh-CN"/>
              </w:rPr>
              <w:t>”</w:t>
            </w:r>
          </w:p>
        </w:tc>
        <w:tc>
          <w:tcPr>
            <w:tcW w:w="177" w:type="pct"/>
            <w:gridSpan w:val="2"/>
            <w:shd w:val="clear" w:color="auto" w:fill="auto"/>
            <w:vAlign w:val="center"/>
          </w:tcPr>
          <w:p w14:paraId="67DBB69E">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vAlign w:val="center"/>
          </w:tcPr>
          <w:p w14:paraId="1B5F5024">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给残液量超过规定的气瓶充装燃气</w:t>
            </w:r>
            <w:r>
              <w:rPr>
                <w:rFonts w:hint="default" w:ascii="Times New Roman" w:hAnsi="Times New Roman" w:cs="Times New Roman" w:eastAsiaTheme="minorEastAsia"/>
                <w:color w:val="auto"/>
                <w:kern w:val="0"/>
                <w:sz w:val="18"/>
                <w:szCs w:val="18"/>
                <w:highlight w:val="none"/>
                <w:lang w:eastAsia="zh-CN"/>
              </w:rPr>
              <w:t>或</w:t>
            </w:r>
            <w:r>
              <w:rPr>
                <w:rFonts w:hint="default" w:ascii="Times New Roman" w:hAnsi="Times New Roman" w:cs="Times New Roman" w:eastAsiaTheme="minorEastAsia"/>
                <w:color w:val="auto"/>
                <w:kern w:val="0"/>
                <w:sz w:val="18"/>
                <w:szCs w:val="18"/>
                <w:highlight w:val="none"/>
              </w:rPr>
              <w:t>用储罐、槽车直接向气瓶充装燃气3瓶（次）</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vAlign w:val="center"/>
          </w:tcPr>
          <w:p w14:paraId="38A0501E">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对单位可以处3万元以下罚款，对个人可以处300元以下罚款</w:t>
            </w:r>
          </w:p>
        </w:tc>
        <w:tc>
          <w:tcPr>
            <w:tcW w:w="260" w:type="pct"/>
            <w:gridSpan w:val="3"/>
            <w:vMerge w:val="restart"/>
            <w:shd w:val="clear" w:color="auto" w:fill="auto"/>
            <w:vAlign w:val="center"/>
          </w:tcPr>
          <w:p w14:paraId="711C324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责令改正或限期改正</w:t>
            </w:r>
          </w:p>
        </w:tc>
        <w:tc>
          <w:tcPr>
            <w:tcW w:w="329" w:type="pct"/>
            <w:gridSpan w:val="2"/>
            <w:vMerge w:val="restart"/>
            <w:shd w:val="clear" w:color="auto" w:fill="auto"/>
            <w:vAlign w:val="center"/>
          </w:tcPr>
          <w:p w14:paraId="53777BE5">
            <w:pPr>
              <w:shd w:val="clear"/>
              <w:jc w:val="left"/>
              <w:rPr>
                <w:rFonts w:hint="default" w:ascii="Times New Roman" w:hAnsi="Times New Roman" w:cs="Times New Roman" w:eastAsiaTheme="minorEastAsia"/>
                <w:color w:val="auto"/>
                <w:sz w:val="18"/>
                <w:szCs w:val="18"/>
                <w:highlight w:val="none"/>
                <w:lang w:val="en-US" w:eastAsia="zh-CN"/>
              </w:rPr>
            </w:pPr>
          </w:p>
        </w:tc>
      </w:tr>
      <w:tr w14:paraId="7AC2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620" w:hRule="atLeast"/>
        </w:trPr>
        <w:tc>
          <w:tcPr>
            <w:tcW w:w="116" w:type="pct"/>
            <w:vMerge w:val="continue"/>
            <w:shd w:val="clear" w:color="auto" w:fill="auto"/>
            <w:vAlign w:val="center"/>
          </w:tcPr>
          <w:p w14:paraId="43439CF4">
            <w:pPr>
              <w:widowControl/>
              <w:shd w:val="clear"/>
              <w:jc w:val="left"/>
              <w:textAlignment w:val="center"/>
              <w:rPr>
                <w:rFonts w:hint="default" w:ascii="Times New Roman" w:hAnsi="Times New Roman" w:cs="Times New Roman"/>
              </w:rPr>
            </w:pPr>
          </w:p>
        </w:tc>
        <w:tc>
          <w:tcPr>
            <w:tcW w:w="411" w:type="pct"/>
            <w:gridSpan w:val="2"/>
            <w:vMerge w:val="continue"/>
            <w:shd w:val="clear" w:color="auto" w:fill="auto"/>
            <w:vAlign w:val="center"/>
          </w:tcPr>
          <w:p w14:paraId="2000CBC9">
            <w:pPr>
              <w:widowControl/>
              <w:shd w:val="clear"/>
              <w:jc w:val="left"/>
              <w:textAlignment w:val="center"/>
              <w:rPr>
                <w:rFonts w:hint="default" w:ascii="Times New Roman" w:hAnsi="Times New Roman" w:cs="Times New Roman"/>
              </w:rPr>
            </w:pPr>
          </w:p>
        </w:tc>
        <w:tc>
          <w:tcPr>
            <w:tcW w:w="1310" w:type="pct"/>
            <w:gridSpan w:val="2"/>
            <w:vMerge w:val="continue"/>
            <w:shd w:val="clear" w:color="auto" w:fill="auto"/>
            <w:vAlign w:val="center"/>
          </w:tcPr>
          <w:p w14:paraId="1E54C4DB">
            <w:pPr>
              <w:widowControl/>
              <w:shd w:val="clear"/>
              <w:jc w:val="left"/>
              <w:textAlignment w:val="center"/>
              <w:rPr>
                <w:rFonts w:hint="default" w:ascii="Times New Roman" w:hAnsi="Times New Roman" w:cs="Times New Roman"/>
              </w:rPr>
            </w:pPr>
          </w:p>
        </w:tc>
        <w:tc>
          <w:tcPr>
            <w:tcW w:w="1314" w:type="pct"/>
            <w:gridSpan w:val="2"/>
            <w:vMerge w:val="continue"/>
            <w:shd w:val="clear" w:color="auto" w:fill="auto"/>
            <w:vAlign w:val="center"/>
          </w:tcPr>
          <w:p w14:paraId="5E1891C2">
            <w:pPr>
              <w:widowControl/>
              <w:shd w:val="clear"/>
              <w:jc w:val="left"/>
              <w:textAlignment w:val="center"/>
              <w:rPr>
                <w:rFonts w:hint="default" w:ascii="Times New Roman" w:hAnsi="Times New Roman" w:cs="Times New Roman"/>
              </w:rPr>
            </w:pPr>
          </w:p>
        </w:tc>
        <w:tc>
          <w:tcPr>
            <w:tcW w:w="177" w:type="pct"/>
            <w:gridSpan w:val="2"/>
            <w:shd w:val="clear" w:color="auto" w:fill="auto"/>
            <w:vAlign w:val="center"/>
          </w:tcPr>
          <w:p w14:paraId="1A16C9F7">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vAlign w:val="center"/>
          </w:tcPr>
          <w:p w14:paraId="6FD4B9A4">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给残液量超过规定的气瓶充装燃气</w:t>
            </w:r>
            <w:r>
              <w:rPr>
                <w:rFonts w:hint="default" w:ascii="Times New Roman" w:hAnsi="Times New Roman" w:cs="Times New Roman" w:eastAsiaTheme="minorEastAsia"/>
                <w:color w:val="auto"/>
                <w:kern w:val="0"/>
                <w:sz w:val="18"/>
                <w:szCs w:val="18"/>
                <w:highlight w:val="none"/>
                <w:lang w:eastAsia="zh-CN"/>
              </w:rPr>
              <w:t>或</w:t>
            </w:r>
            <w:r>
              <w:rPr>
                <w:rFonts w:hint="default" w:ascii="Times New Roman" w:hAnsi="Times New Roman" w:cs="Times New Roman" w:eastAsiaTheme="minorEastAsia"/>
                <w:color w:val="auto"/>
                <w:kern w:val="0"/>
                <w:sz w:val="18"/>
                <w:szCs w:val="18"/>
                <w:highlight w:val="none"/>
              </w:rPr>
              <w:t>用储罐、槽车直接向气瓶充装燃气</w:t>
            </w:r>
            <w:r>
              <w:rPr>
                <w:rFonts w:hint="default" w:ascii="Times New Roman" w:hAnsi="Times New Roman" w:cs="Times New Roman" w:eastAsiaTheme="minorEastAsia"/>
                <w:color w:val="auto"/>
                <w:kern w:val="0"/>
                <w:sz w:val="18"/>
                <w:szCs w:val="18"/>
                <w:highlight w:val="none"/>
                <w:lang w:val="en-US" w:eastAsia="zh-CN"/>
              </w:rPr>
              <w:t>3瓶（次）以上5</w:t>
            </w:r>
            <w:r>
              <w:rPr>
                <w:rFonts w:hint="default" w:ascii="Times New Roman" w:hAnsi="Times New Roman" w:cs="Times New Roman" w:eastAsiaTheme="minorEastAsia"/>
                <w:color w:val="auto"/>
                <w:kern w:val="0"/>
                <w:sz w:val="18"/>
                <w:szCs w:val="18"/>
                <w:highlight w:val="none"/>
              </w:rPr>
              <w:t>瓶（次）</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vAlign w:val="center"/>
          </w:tcPr>
          <w:p w14:paraId="1BBC98F7">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对单位可以处3万元以上7万元以下罚款，对个人可以处300元以上700元以下罚款</w:t>
            </w:r>
          </w:p>
        </w:tc>
        <w:tc>
          <w:tcPr>
            <w:tcW w:w="260" w:type="pct"/>
            <w:gridSpan w:val="3"/>
            <w:vMerge w:val="continue"/>
            <w:shd w:val="clear" w:color="auto" w:fill="auto"/>
            <w:vAlign w:val="center"/>
          </w:tcPr>
          <w:p w14:paraId="49028A7F">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329" w:type="pct"/>
            <w:gridSpan w:val="2"/>
            <w:vMerge w:val="continue"/>
            <w:shd w:val="clear" w:color="auto" w:fill="auto"/>
            <w:vAlign w:val="center"/>
          </w:tcPr>
          <w:p w14:paraId="6038F164">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r>
      <w:tr w14:paraId="7D09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333" w:hRule="atLeast"/>
        </w:trPr>
        <w:tc>
          <w:tcPr>
            <w:tcW w:w="116" w:type="pct"/>
            <w:vMerge w:val="continue"/>
            <w:shd w:val="clear" w:color="auto" w:fill="auto"/>
            <w:vAlign w:val="center"/>
          </w:tcPr>
          <w:p w14:paraId="744B816C">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411" w:type="pct"/>
            <w:gridSpan w:val="2"/>
            <w:vMerge w:val="continue"/>
            <w:shd w:val="clear" w:color="auto" w:fill="auto"/>
            <w:vAlign w:val="center"/>
          </w:tcPr>
          <w:p w14:paraId="6DE87763">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1310" w:type="pct"/>
            <w:gridSpan w:val="2"/>
            <w:vMerge w:val="continue"/>
            <w:shd w:val="clear" w:color="auto" w:fill="auto"/>
            <w:vAlign w:val="center"/>
          </w:tcPr>
          <w:p w14:paraId="0BAFDE1F">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1314" w:type="pct"/>
            <w:gridSpan w:val="2"/>
            <w:vMerge w:val="continue"/>
            <w:shd w:val="clear" w:color="auto" w:fill="auto"/>
            <w:vAlign w:val="center"/>
          </w:tcPr>
          <w:p w14:paraId="34514412">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177" w:type="pct"/>
            <w:gridSpan w:val="2"/>
            <w:shd w:val="clear" w:color="auto" w:fill="auto"/>
            <w:vAlign w:val="center"/>
          </w:tcPr>
          <w:p w14:paraId="5E6C4847">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vAlign w:val="center"/>
          </w:tcPr>
          <w:p w14:paraId="70C6A5CD">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给残液量超过规定的气瓶充装燃气</w:t>
            </w:r>
            <w:r>
              <w:rPr>
                <w:rFonts w:hint="default" w:ascii="Times New Roman" w:hAnsi="Times New Roman" w:cs="Times New Roman" w:eastAsiaTheme="minorEastAsia"/>
                <w:color w:val="auto"/>
                <w:kern w:val="0"/>
                <w:sz w:val="18"/>
                <w:szCs w:val="18"/>
                <w:highlight w:val="none"/>
                <w:lang w:eastAsia="zh-CN"/>
              </w:rPr>
              <w:t>或</w:t>
            </w:r>
            <w:r>
              <w:rPr>
                <w:rFonts w:hint="default" w:ascii="Times New Roman" w:hAnsi="Times New Roman" w:cs="Times New Roman" w:eastAsiaTheme="minorEastAsia"/>
                <w:color w:val="auto"/>
                <w:kern w:val="0"/>
                <w:sz w:val="18"/>
                <w:szCs w:val="18"/>
                <w:highlight w:val="none"/>
              </w:rPr>
              <w:t>用储罐、槽车直接向气瓶充装燃气</w:t>
            </w:r>
            <w:r>
              <w:rPr>
                <w:rFonts w:hint="default" w:ascii="Times New Roman" w:hAnsi="Times New Roman" w:cs="Times New Roman" w:eastAsiaTheme="minorEastAsia"/>
                <w:color w:val="auto"/>
                <w:kern w:val="0"/>
                <w:sz w:val="18"/>
                <w:szCs w:val="18"/>
                <w:highlight w:val="none"/>
                <w:lang w:val="en-US" w:eastAsia="zh-CN"/>
              </w:rPr>
              <w:t>5</w:t>
            </w:r>
            <w:r>
              <w:rPr>
                <w:rFonts w:hint="default" w:ascii="Times New Roman" w:hAnsi="Times New Roman" w:cs="Times New Roman" w:eastAsiaTheme="minorEastAsia"/>
                <w:color w:val="auto"/>
                <w:kern w:val="0"/>
                <w:sz w:val="18"/>
                <w:szCs w:val="18"/>
                <w:highlight w:val="none"/>
              </w:rPr>
              <w:t>瓶（次）</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vAlign w:val="center"/>
          </w:tcPr>
          <w:p w14:paraId="396FB44B">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对单位可以处7万元以上10万元以下罚款，对个人可以处700元以上1000元以下罚款</w:t>
            </w:r>
          </w:p>
        </w:tc>
        <w:tc>
          <w:tcPr>
            <w:tcW w:w="260" w:type="pct"/>
            <w:gridSpan w:val="3"/>
            <w:vMerge w:val="continue"/>
            <w:shd w:val="clear" w:color="auto" w:fill="auto"/>
            <w:vAlign w:val="center"/>
          </w:tcPr>
          <w:p w14:paraId="075EE255">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329" w:type="pct"/>
            <w:gridSpan w:val="2"/>
            <w:vMerge w:val="continue"/>
            <w:shd w:val="clear" w:color="auto" w:fill="auto"/>
            <w:vAlign w:val="center"/>
          </w:tcPr>
          <w:p w14:paraId="33205E73">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r>
      <w:tr w14:paraId="7B66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63" w:hRule="atLeast"/>
        </w:trPr>
        <w:tc>
          <w:tcPr>
            <w:tcW w:w="116" w:type="pct"/>
            <w:vMerge w:val="restart"/>
            <w:shd w:val="clear" w:color="auto" w:fill="auto"/>
            <w:vAlign w:val="center"/>
          </w:tcPr>
          <w:p w14:paraId="0CDB3AEA">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153</w:t>
            </w:r>
          </w:p>
        </w:tc>
        <w:tc>
          <w:tcPr>
            <w:tcW w:w="411" w:type="pct"/>
            <w:gridSpan w:val="2"/>
            <w:vMerge w:val="restart"/>
            <w:shd w:val="clear" w:color="auto" w:fill="auto"/>
            <w:vAlign w:val="center"/>
          </w:tcPr>
          <w:p w14:paraId="52B9C80A">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加热、摔、砸气瓶，使用燃气时倒卧气瓶</w:t>
            </w:r>
            <w:r>
              <w:rPr>
                <w:rFonts w:hint="default" w:ascii="Times New Roman" w:hAnsi="Times New Roman" w:cs="Times New Roman" w:eastAsiaTheme="minorEastAsia"/>
                <w:color w:val="auto"/>
                <w:kern w:val="0"/>
                <w:sz w:val="18"/>
                <w:szCs w:val="18"/>
                <w:highlight w:val="none"/>
                <w:lang w:eastAsia="zh-CN"/>
              </w:rPr>
              <w:t>，逾期不改正的</w:t>
            </w:r>
          </w:p>
        </w:tc>
        <w:tc>
          <w:tcPr>
            <w:tcW w:w="1310" w:type="pct"/>
            <w:gridSpan w:val="2"/>
            <w:vMerge w:val="restart"/>
            <w:shd w:val="clear" w:color="auto" w:fill="auto"/>
            <w:vAlign w:val="center"/>
          </w:tcPr>
          <w:p w14:paraId="5476DABE">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《广东省燃气管理条例》第二十八条第五项：“任何单位和个人不得有下列行为：（五）加热、摔、砸气瓶，使用燃气时倒卧气瓶；”</w:t>
            </w:r>
          </w:p>
        </w:tc>
        <w:tc>
          <w:tcPr>
            <w:tcW w:w="1314" w:type="pct"/>
            <w:gridSpan w:val="2"/>
            <w:vMerge w:val="restart"/>
            <w:shd w:val="clear" w:color="auto" w:fill="auto"/>
            <w:vAlign w:val="center"/>
          </w:tcPr>
          <w:p w14:paraId="15DA2F3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广东省燃气管理条例》第四十条：“违反本条例第二十八条第一项至第七项规定的，由县级以上人民政府燃气管理部门责令改正或限期改正；逾期不改正的，对单位可以处十万元以下的罚款，对个人可以处一千元以下罚款。”</w:t>
            </w:r>
          </w:p>
        </w:tc>
        <w:tc>
          <w:tcPr>
            <w:tcW w:w="177" w:type="pct"/>
            <w:gridSpan w:val="2"/>
            <w:shd w:val="clear" w:color="auto" w:fill="auto"/>
            <w:vAlign w:val="center"/>
          </w:tcPr>
          <w:p w14:paraId="7571F54D">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vAlign w:val="center"/>
          </w:tcPr>
          <w:p w14:paraId="1C73AAA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加热、摔、砸气瓶，使用燃气时倒卧气瓶3瓶（次）</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vAlign w:val="center"/>
          </w:tcPr>
          <w:p w14:paraId="70849B5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对单位可以处3万元以下罚款，对个人可以处300元以下罚款</w:t>
            </w:r>
          </w:p>
        </w:tc>
        <w:tc>
          <w:tcPr>
            <w:tcW w:w="260" w:type="pct"/>
            <w:gridSpan w:val="3"/>
            <w:vMerge w:val="restart"/>
            <w:shd w:val="clear" w:color="auto" w:fill="auto"/>
            <w:vAlign w:val="center"/>
          </w:tcPr>
          <w:p w14:paraId="4656FAAA">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责令改正或限期改正</w:t>
            </w:r>
          </w:p>
          <w:p w14:paraId="25BF68C8">
            <w:pPr>
              <w:widowControl/>
              <w:shd w:val="clear"/>
              <w:jc w:val="left"/>
              <w:textAlignment w:val="center"/>
              <w:rPr>
                <w:rFonts w:hint="default" w:ascii="Times New Roman" w:hAnsi="Times New Roman" w:cs="Times New Roman" w:eastAsiaTheme="minorEastAsia"/>
                <w:color w:val="auto"/>
                <w:sz w:val="18"/>
                <w:szCs w:val="18"/>
                <w:highlight w:val="none"/>
              </w:rPr>
            </w:pPr>
          </w:p>
          <w:p w14:paraId="55150BBA">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vAlign w:val="center"/>
          </w:tcPr>
          <w:p w14:paraId="407178AE">
            <w:pPr>
              <w:shd w:val="clear"/>
              <w:jc w:val="left"/>
              <w:rPr>
                <w:rFonts w:hint="default" w:ascii="Times New Roman" w:hAnsi="Times New Roman" w:cs="Times New Roman" w:eastAsiaTheme="minorEastAsia"/>
                <w:color w:val="auto"/>
                <w:sz w:val="18"/>
                <w:szCs w:val="18"/>
                <w:highlight w:val="none"/>
                <w:lang w:val="en-US" w:eastAsia="zh-CN"/>
              </w:rPr>
            </w:pPr>
          </w:p>
        </w:tc>
      </w:tr>
      <w:tr w14:paraId="6FAE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63" w:hRule="atLeast"/>
        </w:trPr>
        <w:tc>
          <w:tcPr>
            <w:tcW w:w="116" w:type="pct"/>
            <w:vMerge w:val="continue"/>
            <w:shd w:val="clear" w:color="auto" w:fill="auto"/>
            <w:vAlign w:val="top"/>
          </w:tcPr>
          <w:p w14:paraId="5ACB089E">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vAlign w:val="top"/>
          </w:tcPr>
          <w:p w14:paraId="74562E86">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vAlign w:val="top"/>
          </w:tcPr>
          <w:p w14:paraId="64075B78">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vAlign w:val="top"/>
          </w:tcPr>
          <w:p w14:paraId="6A386D91">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vAlign w:val="center"/>
          </w:tcPr>
          <w:p w14:paraId="1FAE6BF1">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vAlign w:val="center"/>
          </w:tcPr>
          <w:p w14:paraId="6FAA35C6">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加热、摔、砸气瓶，使用燃气时倒卧气瓶3瓶（次）</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5瓶</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rPr>
              <w:t>（次）</w:t>
            </w:r>
          </w:p>
        </w:tc>
        <w:tc>
          <w:tcPr>
            <w:tcW w:w="545" w:type="pct"/>
            <w:gridSpan w:val="2"/>
            <w:shd w:val="clear" w:color="auto" w:fill="auto"/>
            <w:vAlign w:val="center"/>
          </w:tcPr>
          <w:p w14:paraId="5C6DDEF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对单位可以处3万元以上7万元以下罚款，对个人可以处300元以上700元以下罚款</w:t>
            </w:r>
          </w:p>
        </w:tc>
        <w:tc>
          <w:tcPr>
            <w:tcW w:w="260" w:type="pct"/>
            <w:gridSpan w:val="3"/>
            <w:vMerge w:val="continue"/>
            <w:shd w:val="clear" w:color="auto" w:fill="auto"/>
            <w:vAlign w:val="center"/>
          </w:tcPr>
          <w:p w14:paraId="2ECA4C88">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vAlign w:val="center"/>
          </w:tcPr>
          <w:p w14:paraId="25B662EE">
            <w:pPr>
              <w:shd w:val="clear"/>
              <w:jc w:val="left"/>
              <w:rPr>
                <w:rFonts w:hint="default" w:ascii="Times New Roman" w:hAnsi="Times New Roman" w:cs="Times New Roman" w:eastAsiaTheme="minorEastAsia"/>
                <w:color w:val="auto"/>
                <w:sz w:val="18"/>
                <w:szCs w:val="18"/>
                <w:highlight w:val="none"/>
              </w:rPr>
            </w:pPr>
          </w:p>
        </w:tc>
      </w:tr>
      <w:tr w14:paraId="5008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63" w:hRule="atLeast"/>
        </w:trPr>
        <w:tc>
          <w:tcPr>
            <w:tcW w:w="116" w:type="pct"/>
            <w:vMerge w:val="continue"/>
            <w:shd w:val="clear" w:color="auto" w:fill="auto"/>
            <w:vAlign w:val="top"/>
          </w:tcPr>
          <w:p w14:paraId="5D571618">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vAlign w:val="top"/>
          </w:tcPr>
          <w:p w14:paraId="40C83138">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vAlign w:val="top"/>
          </w:tcPr>
          <w:p w14:paraId="4A156778">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vAlign w:val="top"/>
          </w:tcPr>
          <w:p w14:paraId="47E5DC8B">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vAlign w:val="center"/>
          </w:tcPr>
          <w:p w14:paraId="2E27F3AE">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vAlign w:val="center"/>
          </w:tcPr>
          <w:p w14:paraId="4883465C">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加热、摔、砸气瓶，使用燃气时倒卧气瓶5瓶（次）</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vAlign w:val="center"/>
          </w:tcPr>
          <w:p w14:paraId="19120CC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对单位可以处7万元以上10万元以下罚款，对个人可以处700元以上1000元以下罚款</w:t>
            </w:r>
          </w:p>
        </w:tc>
        <w:tc>
          <w:tcPr>
            <w:tcW w:w="260" w:type="pct"/>
            <w:gridSpan w:val="3"/>
            <w:vMerge w:val="continue"/>
            <w:shd w:val="clear" w:color="auto" w:fill="auto"/>
            <w:vAlign w:val="center"/>
          </w:tcPr>
          <w:p w14:paraId="1B0D1AE7">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vAlign w:val="center"/>
          </w:tcPr>
          <w:p w14:paraId="2A8DE579">
            <w:pPr>
              <w:shd w:val="clear"/>
              <w:jc w:val="left"/>
              <w:rPr>
                <w:rFonts w:hint="default" w:ascii="Times New Roman" w:hAnsi="Times New Roman" w:cs="Times New Roman" w:eastAsiaTheme="minorEastAsia"/>
                <w:color w:val="auto"/>
                <w:sz w:val="18"/>
                <w:szCs w:val="18"/>
                <w:highlight w:val="none"/>
              </w:rPr>
            </w:pPr>
          </w:p>
        </w:tc>
      </w:tr>
      <w:tr w14:paraId="4C7A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516" w:hRule="atLeast"/>
        </w:trPr>
        <w:tc>
          <w:tcPr>
            <w:tcW w:w="116" w:type="pct"/>
            <w:vMerge w:val="restart"/>
            <w:shd w:val="clear" w:color="auto" w:fill="auto"/>
            <w:vAlign w:val="center"/>
          </w:tcPr>
          <w:p w14:paraId="5AF7B436">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154</w:t>
            </w:r>
          </w:p>
        </w:tc>
        <w:tc>
          <w:tcPr>
            <w:tcW w:w="411" w:type="pct"/>
            <w:gridSpan w:val="2"/>
            <w:vMerge w:val="restart"/>
            <w:shd w:val="clear" w:color="auto" w:fill="auto"/>
            <w:vAlign w:val="center"/>
          </w:tcPr>
          <w:p w14:paraId="4AF5C9D4">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在同一用气场所安装两套供气系统或者使用两种以上燃气</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逾期不改正的</w:t>
            </w:r>
          </w:p>
        </w:tc>
        <w:tc>
          <w:tcPr>
            <w:tcW w:w="1310" w:type="pct"/>
            <w:gridSpan w:val="2"/>
            <w:vMerge w:val="restart"/>
            <w:shd w:val="clear" w:color="auto" w:fill="auto"/>
            <w:vAlign w:val="center"/>
          </w:tcPr>
          <w:p w14:paraId="3FD8C0E7">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eastAsia="zh-CN"/>
              </w:rPr>
              <w:t>《广东省燃气管理条例》</w:t>
            </w:r>
            <w:r>
              <w:rPr>
                <w:rFonts w:hint="default" w:ascii="Times New Roman" w:hAnsi="Times New Roman" w:cs="Times New Roman" w:eastAsiaTheme="minorEastAsia"/>
                <w:color w:val="auto"/>
                <w:kern w:val="0"/>
                <w:sz w:val="18"/>
                <w:szCs w:val="18"/>
                <w:highlight w:val="none"/>
              </w:rPr>
              <w:t>第二十八条</w:t>
            </w:r>
            <w:r>
              <w:rPr>
                <w:rFonts w:hint="default" w:ascii="Times New Roman" w:hAnsi="Times New Roman" w:cs="Times New Roman" w:eastAsiaTheme="minorEastAsia"/>
                <w:color w:val="auto"/>
                <w:kern w:val="0"/>
                <w:sz w:val="18"/>
                <w:szCs w:val="18"/>
                <w:highlight w:val="none"/>
                <w:lang w:eastAsia="zh-CN"/>
              </w:rPr>
              <w:t>第六项：“</w:t>
            </w:r>
            <w:r>
              <w:rPr>
                <w:rFonts w:hint="default" w:ascii="Times New Roman" w:hAnsi="Times New Roman" w:cs="Times New Roman" w:eastAsiaTheme="minorEastAsia"/>
                <w:color w:val="auto"/>
                <w:kern w:val="0"/>
                <w:sz w:val="18"/>
                <w:szCs w:val="18"/>
                <w:highlight w:val="none"/>
              </w:rPr>
              <w:t>任何单位和个人不得有下列行为：（六）在同一用气场所安装两套供气系统或者使用两种以上燃气；</w:t>
            </w:r>
            <w:r>
              <w:rPr>
                <w:rFonts w:hint="default" w:ascii="Times New Roman" w:hAnsi="Times New Roman" w:cs="Times New Roman" w:eastAsiaTheme="minorEastAsia"/>
                <w:color w:val="auto"/>
                <w:kern w:val="0"/>
                <w:sz w:val="18"/>
                <w:szCs w:val="18"/>
                <w:highlight w:val="none"/>
                <w:lang w:eastAsia="zh-CN"/>
              </w:rPr>
              <w:t>”</w:t>
            </w:r>
          </w:p>
        </w:tc>
        <w:tc>
          <w:tcPr>
            <w:tcW w:w="1314" w:type="pct"/>
            <w:gridSpan w:val="2"/>
            <w:vMerge w:val="restart"/>
            <w:shd w:val="clear" w:color="auto" w:fill="auto"/>
            <w:vAlign w:val="center"/>
          </w:tcPr>
          <w:p w14:paraId="598CFCA4">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eastAsia="zh-CN"/>
              </w:rPr>
              <w:t>《广东省燃气管理条例》</w:t>
            </w:r>
            <w:r>
              <w:rPr>
                <w:rFonts w:hint="default" w:ascii="Times New Roman" w:hAnsi="Times New Roman" w:cs="Times New Roman" w:eastAsiaTheme="minorEastAsia"/>
                <w:color w:val="auto"/>
                <w:kern w:val="0"/>
                <w:sz w:val="18"/>
                <w:szCs w:val="18"/>
                <w:highlight w:val="none"/>
              </w:rPr>
              <w:t>第四十条：“违反本条例第二十八条第一项至第七项规定的，由县级以上人民政府燃气管理部门责令改正或限期改正；逾期不改正的，对单位可以处十万元以下的罚款，对个人可以处一千元以下罚款。”</w:t>
            </w:r>
          </w:p>
        </w:tc>
        <w:tc>
          <w:tcPr>
            <w:tcW w:w="177" w:type="pct"/>
            <w:gridSpan w:val="2"/>
            <w:shd w:val="clear" w:color="auto" w:fill="auto"/>
            <w:vAlign w:val="center"/>
          </w:tcPr>
          <w:p w14:paraId="421F6D58">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vAlign w:val="center"/>
          </w:tcPr>
          <w:p w14:paraId="50E5EB4E">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用气场所</w:t>
            </w:r>
            <w:r>
              <w:rPr>
                <w:rFonts w:hint="default" w:ascii="Times New Roman" w:hAnsi="Times New Roman" w:cs="Times New Roman" w:eastAsiaTheme="minorEastAsia"/>
                <w:color w:val="auto"/>
                <w:kern w:val="0"/>
                <w:sz w:val="18"/>
                <w:szCs w:val="18"/>
                <w:highlight w:val="none"/>
                <w:lang w:val="en-US" w:eastAsia="zh-CN"/>
              </w:rPr>
              <w:t>30平方米以下</w:t>
            </w:r>
          </w:p>
        </w:tc>
        <w:tc>
          <w:tcPr>
            <w:tcW w:w="545" w:type="pct"/>
            <w:gridSpan w:val="2"/>
            <w:shd w:val="clear" w:color="auto" w:fill="auto"/>
            <w:vAlign w:val="center"/>
          </w:tcPr>
          <w:p w14:paraId="2D98C5A3">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对单位可以处3万元以下罚款，对个人可以处300元以下罚款</w:t>
            </w:r>
          </w:p>
        </w:tc>
        <w:tc>
          <w:tcPr>
            <w:tcW w:w="260" w:type="pct"/>
            <w:gridSpan w:val="3"/>
            <w:vMerge w:val="restart"/>
            <w:shd w:val="clear" w:color="auto" w:fill="auto"/>
            <w:vAlign w:val="center"/>
          </w:tcPr>
          <w:p w14:paraId="0D28A6D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责令改正或限期改正</w:t>
            </w:r>
          </w:p>
        </w:tc>
        <w:tc>
          <w:tcPr>
            <w:tcW w:w="329" w:type="pct"/>
            <w:gridSpan w:val="2"/>
            <w:vMerge w:val="restart"/>
            <w:shd w:val="clear" w:color="auto" w:fill="auto"/>
            <w:vAlign w:val="center"/>
          </w:tcPr>
          <w:p w14:paraId="09FE6221">
            <w:pPr>
              <w:shd w:val="clear"/>
              <w:jc w:val="left"/>
              <w:rPr>
                <w:rFonts w:hint="default" w:ascii="Times New Roman" w:hAnsi="Times New Roman" w:cs="Times New Roman" w:eastAsiaTheme="minorEastAsia"/>
                <w:color w:val="auto"/>
                <w:sz w:val="18"/>
                <w:szCs w:val="18"/>
                <w:highlight w:val="none"/>
                <w:lang w:val="en-US" w:eastAsia="zh-CN"/>
              </w:rPr>
            </w:pPr>
          </w:p>
        </w:tc>
      </w:tr>
      <w:tr w14:paraId="187C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516" w:hRule="atLeast"/>
        </w:trPr>
        <w:tc>
          <w:tcPr>
            <w:tcW w:w="116" w:type="pct"/>
            <w:vMerge w:val="continue"/>
            <w:shd w:val="clear" w:color="auto" w:fill="auto"/>
            <w:vAlign w:val="center"/>
          </w:tcPr>
          <w:p w14:paraId="6BD27885">
            <w:pPr>
              <w:widowControl/>
              <w:shd w:val="clear"/>
              <w:jc w:val="left"/>
              <w:textAlignment w:val="center"/>
              <w:rPr>
                <w:rFonts w:hint="default" w:ascii="Times New Roman" w:hAnsi="Times New Roman" w:cs="Times New Roman"/>
              </w:rPr>
            </w:pPr>
          </w:p>
        </w:tc>
        <w:tc>
          <w:tcPr>
            <w:tcW w:w="411" w:type="pct"/>
            <w:gridSpan w:val="2"/>
            <w:vMerge w:val="continue"/>
            <w:shd w:val="clear" w:color="auto" w:fill="auto"/>
            <w:vAlign w:val="center"/>
          </w:tcPr>
          <w:p w14:paraId="67479A0D">
            <w:pPr>
              <w:widowControl/>
              <w:shd w:val="clear"/>
              <w:jc w:val="left"/>
              <w:textAlignment w:val="center"/>
              <w:rPr>
                <w:rFonts w:hint="default" w:ascii="Times New Roman" w:hAnsi="Times New Roman" w:cs="Times New Roman"/>
              </w:rPr>
            </w:pPr>
          </w:p>
        </w:tc>
        <w:tc>
          <w:tcPr>
            <w:tcW w:w="1310" w:type="pct"/>
            <w:gridSpan w:val="2"/>
            <w:vMerge w:val="continue"/>
            <w:shd w:val="clear" w:color="auto" w:fill="auto"/>
            <w:vAlign w:val="center"/>
          </w:tcPr>
          <w:p w14:paraId="41A8ED70">
            <w:pPr>
              <w:widowControl/>
              <w:shd w:val="clear"/>
              <w:jc w:val="left"/>
              <w:textAlignment w:val="center"/>
              <w:rPr>
                <w:rFonts w:hint="default" w:ascii="Times New Roman" w:hAnsi="Times New Roman" w:cs="Times New Roman"/>
              </w:rPr>
            </w:pPr>
          </w:p>
        </w:tc>
        <w:tc>
          <w:tcPr>
            <w:tcW w:w="1314" w:type="pct"/>
            <w:gridSpan w:val="2"/>
            <w:vMerge w:val="continue"/>
            <w:shd w:val="clear" w:color="auto" w:fill="auto"/>
            <w:vAlign w:val="center"/>
          </w:tcPr>
          <w:p w14:paraId="32E5A409">
            <w:pPr>
              <w:widowControl/>
              <w:shd w:val="clear"/>
              <w:jc w:val="left"/>
              <w:textAlignment w:val="center"/>
              <w:rPr>
                <w:rFonts w:hint="default" w:ascii="Times New Roman" w:hAnsi="Times New Roman" w:cs="Times New Roman"/>
              </w:rPr>
            </w:pPr>
          </w:p>
        </w:tc>
        <w:tc>
          <w:tcPr>
            <w:tcW w:w="177" w:type="pct"/>
            <w:gridSpan w:val="2"/>
            <w:shd w:val="clear" w:color="auto" w:fill="auto"/>
            <w:vAlign w:val="center"/>
          </w:tcPr>
          <w:p w14:paraId="3389514D">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vAlign w:val="center"/>
          </w:tcPr>
          <w:p w14:paraId="4EF580D7">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用气场所</w:t>
            </w:r>
            <w:r>
              <w:rPr>
                <w:rFonts w:hint="default" w:ascii="Times New Roman" w:hAnsi="Times New Roman" w:cs="Times New Roman" w:eastAsiaTheme="minorEastAsia"/>
                <w:color w:val="auto"/>
                <w:kern w:val="0"/>
                <w:sz w:val="18"/>
                <w:szCs w:val="18"/>
                <w:highlight w:val="none"/>
                <w:lang w:val="en-US" w:eastAsia="zh-CN"/>
              </w:rPr>
              <w:t>30平方米以上50平方米以下</w:t>
            </w:r>
          </w:p>
        </w:tc>
        <w:tc>
          <w:tcPr>
            <w:tcW w:w="545" w:type="pct"/>
            <w:gridSpan w:val="2"/>
            <w:shd w:val="clear" w:color="auto" w:fill="auto"/>
            <w:vAlign w:val="center"/>
          </w:tcPr>
          <w:p w14:paraId="544DFFDE">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对单位可以处3万元以上7万元以下罚款，对个人可以处300元以上700元以下罚款</w:t>
            </w:r>
          </w:p>
        </w:tc>
        <w:tc>
          <w:tcPr>
            <w:tcW w:w="260" w:type="pct"/>
            <w:gridSpan w:val="3"/>
            <w:vMerge w:val="continue"/>
            <w:shd w:val="clear" w:color="auto" w:fill="auto"/>
            <w:vAlign w:val="center"/>
          </w:tcPr>
          <w:p w14:paraId="6A7A24F2">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329" w:type="pct"/>
            <w:gridSpan w:val="2"/>
            <w:vMerge w:val="continue"/>
            <w:shd w:val="clear" w:color="auto" w:fill="auto"/>
            <w:vAlign w:val="center"/>
          </w:tcPr>
          <w:p w14:paraId="37B54D19">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r>
      <w:tr w14:paraId="3222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516" w:hRule="atLeast"/>
        </w:trPr>
        <w:tc>
          <w:tcPr>
            <w:tcW w:w="116" w:type="pct"/>
            <w:vMerge w:val="continue"/>
            <w:shd w:val="clear" w:color="auto" w:fill="auto"/>
            <w:vAlign w:val="center"/>
          </w:tcPr>
          <w:p w14:paraId="5CB38030">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411" w:type="pct"/>
            <w:gridSpan w:val="2"/>
            <w:vMerge w:val="continue"/>
            <w:shd w:val="clear" w:color="auto" w:fill="auto"/>
            <w:vAlign w:val="center"/>
          </w:tcPr>
          <w:p w14:paraId="47DC0D7F">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1310" w:type="pct"/>
            <w:gridSpan w:val="2"/>
            <w:vMerge w:val="continue"/>
            <w:shd w:val="clear" w:color="auto" w:fill="auto"/>
            <w:vAlign w:val="center"/>
          </w:tcPr>
          <w:p w14:paraId="6D1D2261">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1314" w:type="pct"/>
            <w:gridSpan w:val="2"/>
            <w:vMerge w:val="continue"/>
            <w:shd w:val="clear" w:color="auto" w:fill="auto"/>
            <w:vAlign w:val="center"/>
          </w:tcPr>
          <w:p w14:paraId="5AAA5585">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177" w:type="pct"/>
            <w:gridSpan w:val="2"/>
            <w:shd w:val="clear" w:color="auto" w:fill="auto"/>
            <w:vAlign w:val="center"/>
          </w:tcPr>
          <w:p w14:paraId="10D8B981">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vAlign w:val="center"/>
          </w:tcPr>
          <w:p w14:paraId="7DA9AB1B">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用气场所</w:t>
            </w:r>
            <w:r>
              <w:rPr>
                <w:rFonts w:hint="default" w:ascii="Times New Roman" w:hAnsi="Times New Roman" w:cs="Times New Roman" w:eastAsiaTheme="minorEastAsia"/>
                <w:color w:val="auto"/>
                <w:kern w:val="0"/>
                <w:sz w:val="18"/>
                <w:szCs w:val="18"/>
                <w:highlight w:val="none"/>
                <w:lang w:val="en-US" w:eastAsia="zh-CN"/>
              </w:rPr>
              <w:t>50平方米以上</w:t>
            </w:r>
          </w:p>
        </w:tc>
        <w:tc>
          <w:tcPr>
            <w:tcW w:w="545" w:type="pct"/>
            <w:gridSpan w:val="2"/>
            <w:shd w:val="clear" w:color="auto" w:fill="auto"/>
            <w:vAlign w:val="center"/>
          </w:tcPr>
          <w:p w14:paraId="2C85017F">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对单位可以处7万元以上10万元以下罚款，对个人可以处700元以上1000元以下罚款</w:t>
            </w:r>
          </w:p>
        </w:tc>
        <w:tc>
          <w:tcPr>
            <w:tcW w:w="260" w:type="pct"/>
            <w:gridSpan w:val="3"/>
            <w:vMerge w:val="continue"/>
            <w:shd w:val="clear" w:color="auto" w:fill="auto"/>
            <w:vAlign w:val="center"/>
          </w:tcPr>
          <w:p w14:paraId="37FC9CF0">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c>
          <w:tcPr>
            <w:tcW w:w="329" w:type="pct"/>
            <w:gridSpan w:val="2"/>
            <w:vMerge w:val="continue"/>
            <w:shd w:val="clear" w:color="auto" w:fill="auto"/>
            <w:vAlign w:val="center"/>
          </w:tcPr>
          <w:p w14:paraId="18E1471E">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p>
        </w:tc>
      </w:tr>
      <w:tr w14:paraId="2D13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63" w:hRule="atLeast"/>
        </w:trPr>
        <w:tc>
          <w:tcPr>
            <w:tcW w:w="116" w:type="pct"/>
            <w:vMerge w:val="restart"/>
            <w:shd w:val="clear" w:color="auto" w:fill="auto"/>
            <w:vAlign w:val="center"/>
          </w:tcPr>
          <w:p w14:paraId="0D41C777">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155</w:t>
            </w:r>
          </w:p>
        </w:tc>
        <w:tc>
          <w:tcPr>
            <w:tcW w:w="411" w:type="pct"/>
            <w:gridSpan w:val="2"/>
            <w:vMerge w:val="restart"/>
            <w:shd w:val="clear" w:color="auto" w:fill="auto"/>
            <w:vAlign w:val="center"/>
          </w:tcPr>
          <w:p w14:paraId="512BA907">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燃气用户使用超期限未检验、检验不合格、无技术档案或者报废的气瓶</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逾期不改正的</w:t>
            </w:r>
          </w:p>
        </w:tc>
        <w:tc>
          <w:tcPr>
            <w:tcW w:w="1310" w:type="pct"/>
            <w:gridSpan w:val="2"/>
            <w:vMerge w:val="restart"/>
            <w:shd w:val="clear" w:color="auto" w:fill="auto"/>
            <w:vAlign w:val="center"/>
          </w:tcPr>
          <w:p w14:paraId="1BBD135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《广东省燃气管理条例》第二十八条</w:t>
            </w:r>
            <w:r>
              <w:rPr>
                <w:rFonts w:hint="default" w:ascii="Times New Roman" w:hAnsi="Times New Roman" w:cs="Times New Roman" w:eastAsiaTheme="minorEastAsia"/>
                <w:color w:val="auto"/>
                <w:kern w:val="0"/>
                <w:sz w:val="18"/>
                <w:szCs w:val="18"/>
                <w:highlight w:val="none"/>
                <w:lang w:eastAsia="zh-CN"/>
              </w:rPr>
              <w:t>第七项：“</w:t>
            </w:r>
            <w:r>
              <w:rPr>
                <w:rFonts w:hint="default" w:ascii="Times New Roman" w:hAnsi="Times New Roman" w:cs="Times New Roman" w:eastAsiaTheme="minorEastAsia"/>
                <w:color w:val="auto"/>
                <w:kern w:val="0"/>
                <w:sz w:val="18"/>
                <w:szCs w:val="18"/>
                <w:highlight w:val="none"/>
              </w:rPr>
              <w:t>任何单位和个人不得有下列行为：（七）使用超期限未检验、检验不合格、无技术档案或者报废的气瓶充装的燃气；</w:t>
            </w:r>
            <w:r>
              <w:rPr>
                <w:rFonts w:hint="default" w:ascii="Times New Roman" w:hAnsi="Times New Roman" w:cs="Times New Roman" w:eastAsiaTheme="minorEastAsia"/>
                <w:color w:val="auto"/>
                <w:kern w:val="0"/>
                <w:sz w:val="18"/>
                <w:szCs w:val="18"/>
                <w:highlight w:val="none"/>
                <w:lang w:eastAsia="zh-CN"/>
              </w:rPr>
              <w:t>”</w:t>
            </w:r>
          </w:p>
        </w:tc>
        <w:tc>
          <w:tcPr>
            <w:tcW w:w="1314" w:type="pct"/>
            <w:gridSpan w:val="2"/>
            <w:vMerge w:val="restart"/>
            <w:shd w:val="clear" w:color="auto" w:fill="auto"/>
            <w:vAlign w:val="center"/>
          </w:tcPr>
          <w:p w14:paraId="07FBF4BA">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广东省燃气管理条例》第四十条：“违反本条例第二十八条第一项至第七项规定的，由县级以上人民政府燃气管理部门责令改正或限期改正；逾期不改正的，对单位可以处十万元以下的罚款，对个人可以处一千元以下罚款。”</w:t>
            </w:r>
          </w:p>
        </w:tc>
        <w:tc>
          <w:tcPr>
            <w:tcW w:w="177" w:type="pct"/>
            <w:gridSpan w:val="2"/>
            <w:shd w:val="clear" w:color="auto" w:fill="auto"/>
            <w:vAlign w:val="center"/>
          </w:tcPr>
          <w:p w14:paraId="70812130">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vAlign w:val="center"/>
          </w:tcPr>
          <w:p w14:paraId="34DCCDE7">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使用超期限未检验、检验不合格、无技术档案或者报废气瓶</w:t>
            </w:r>
            <w:r>
              <w:rPr>
                <w:rFonts w:hint="default" w:ascii="Times New Roman" w:hAnsi="Times New Roman" w:cs="Times New Roman" w:eastAsiaTheme="minorEastAsia"/>
                <w:color w:val="auto"/>
                <w:kern w:val="0"/>
                <w:sz w:val="18"/>
                <w:szCs w:val="18"/>
                <w:highlight w:val="none"/>
                <w:lang w:val="en-US" w:eastAsia="zh-CN"/>
              </w:rPr>
              <w:t>3</w:t>
            </w:r>
            <w:r>
              <w:rPr>
                <w:rFonts w:hint="default" w:ascii="Times New Roman" w:hAnsi="Times New Roman" w:cs="Times New Roman" w:eastAsiaTheme="minorEastAsia"/>
                <w:color w:val="auto"/>
                <w:kern w:val="0"/>
                <w:sz w:val="18"/>
                <w:szCs w:val="18"/>
                <w:highlight w:val="none"/>
              </w:rPr>
              <w:t>瓶（次）</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vAlign w:val="center"/>
          </w:tcPr>
          <w:p w14:paraId="76F8A107">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对单位可以处3万元以下罚款，对个人可以处300元以下罚款</w:t>
            </w:r>
          </w:p>
        </w:tc>
        <w:tc>
          <w:tcPr>
            <w:tcW w:w="260" w:type="pct"/>
            <w:gridSpan w:val="3"/>
            <w:vMerge w:val="restart"/>
            <w:shd w:val="clear" w:color="auto" w:fill="auto"/>
            <w:vAlign w:val="center"/>
          </w:tcPr>
          <w:p w14:paraId="6B4D50BB">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责令改正或限期改正</w:t>
            </w:r>
          </w:p>
          <w:p w14:paraId="7A506599">
            <w:pPr>
              <w:widowControl/>
              <w:shd w:val="clear"/>
              <w:jc w:val="left"/>
              <w:textAlignment w:val="center"/>
              <w:rPr>
                <w:rFonts w:hint="default" w:ascii="Times New Roman" w:hAnsi="Times New Roman" w:cs="Times New Roman" w:eastAsiaTheme="minorEastAsia"/>
                <w:color w:val="auto"/>
                <w:sz w:val="18"/>
                <w:szCs w:val="18"/>
                <w:highlight w:val="none"/>
              </w:rPr>
            </w:pPr>
          </w:p>
          <w:p w14:paraId="1CEA5AEC">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vAlign w:val="center"/>
          </w:tcPr>
          <w:p w14:paraId="7E650F1A">
            <w:pPr>
              <w:shd w:val="clear"/>
              <w:jc w:val="left"/>
              <w:rPr>
                <w:rFonts w:hint="default" w:ascii="Times New Roman" w:hAnsi="Times New Roman" w:cs="Times New Roman" w:eastAsiaTheme="minorEastAsia"/>
                <w:color w:val="auto"/>
                <w:sz w:val="18"/>
                <w:szCs w:val="18"/>
                <w:highlight w:val="none"/>
                <w:lang w:val="en-US" w:eastAsia="zh-CN"/>
              </w:rPr>
            </w:pPr>
          </w:p>
        </w:tc>
      </w:tr>
      <w:tr w14:paraId="78CD7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313" w:hRule="atLeast"/>
        </w:trPr>
        <w:tc>
          <w:tcPr>
            <w:tcW w:w="116" w:type="pct"/>
            <w:vMerge w:val="continue"/>
            <w:shd w:val="clear" w:color="auto" w:fill="auto"/>
            <w:vAlign w:val="top"/>
          </w:tcPr>
          <w:p w14:paraId="142496FC">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vAlign w:val="top"/>
          </w:tcPr>
          <w:p w14:paraId="1319217D">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vAlign w:val="top"/>
          </w:tcPr>
          <w:p w14:paraId="2B68BEB7">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vAlign w:val="top"/>
          </w:tcPr>
          <w:p w14:paraId="7C170360">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vAlign w:val="center"/>
          </w:tcPr>
          <w:p w14:paraId="57DAB6C2">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vAlign w:val="center"/>
          </w:tcPr>
          <w:p w14:paraId="2433981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使用超期限未检验、检验不合格、无技术档案或者报废气瓶</w:t>
            </w:r>
            <w:r>
              <w:rPr>
                <w:rFonts w:hint="default" w:ascii="Times New Roman" w:hAnsi="Times New Roman" w:cs="Times New Roman" w:eastAsiaTheme="minorEastAsia"/>
                <w:color w:val="auto"/>
                <w:kern w:val="0"/>
                <w:sz w:val="18"/>
                <w:szCs w:val="18"/>
                <w:highlight w:val="none"/>
                <w:lang w:val="en-US" w:eastAsia="zh-CN"/>
              </w:rPr>
              <w:t>3</w:t>
            </w:r>
            <w:r>
              <w:rPr>
                <w:rFonts w:hint="default" w:ascii="Times New Roman" w:hAnsi="Times New Roman" w:cs="Times New Roman" w:eastAsiaTheme="minorEastAsia"/>
                <w:color w:val="auto"/>
                <w:kern w:val="0"/>
                <w:sz w:val="18"/>
                <w:szCs w:val="18"/>
                <w:highlight w:val="none"/>
              </w:rPr>
              <w:t>瓶（次）</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5瓶（次）</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vAlign w:val="center"/>
          </w:tcPr>
          <w:p w14:paraId="29F8E79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对单位可以处3万元以上7万元以下罚款，对个人可以处300元以上700元以下罚款</w:t>
            </w:r>
          </w:p>
        </w:tc>
        <w:tc>
          <w:tcPr>
            <w:tcW w:w="260" w:type="pct"/>
            <w:gridSpan w:val="3"/>
            <w:vMerge w:val="continue"/>
            <w:shd w:val="clear" w:color="auto" w:fill="auto"/>
            <w:vAlign w:val="center"/>
          </w:tcPr>
          <w:p w14:paraId="6C6CD972">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vAlign w:val="center"/>
          </w:tcPr>
          <w:p w14:paraId="75FFDD55">
            <w:pPr>
              <w:shd w:val="clear"/>
              <w:jc w:val="left"/>
              <w:rPr>
                <w:rFonts w:hint="default" w:ascii="Times New Roman" w:hAnsi="Times New Roman" w:cs="Times New Roman" w:eastAsiaTheme="minorEastAsia"/>
                <w:color w:val="auto"/>
                <w:sz w:val="18"/>
                <w:szCs w:val="18"/>
                <w:highlight w:val="none"/>
              </w:rPr>
            </w:pPr>
          </w:p>
        </w:tc>
      </w:tr>
      <w:tr w14:paraId="3D75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63" w:hRule="atLeast"/>
        </w:trPr>
        <w:tc>
          <w:tcPr>
            <w:tcW w:w="116" w:type="pct"/>
            <w:vMerge w:val="continue"/>
            <w:shd w:val="clear" w:color="auto" w:fill="auto"/>
            <w:vAlign w:val="top"/>
          </w:tcPr>
          <w:p w14:paraId="515FA1B1">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vAlign w:val="top"/>
          </w:tcPr>
          <w:p w14:paraId="38801858">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vAlign w:val="top"/>
          </w:tcPr>
          <w:p w14:paraId="56FD5CE6">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vAlign w:val="top"/>
          </w:tcPr>
          <w:p w14:paraId="485250A0">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vAlign w:val="center"/>
          </w:tcPr>
          <w:p w14:paraId="139CE1E7">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vAlign w:val="center"/>
          </w:tcPr>
          <w:p w14:paraId="637111B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使用超期限未检验、检验不合格、无技术档案或者报废气瓶5瓶（次）</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vAlign w:val="center"/>
          </w:tcPr>
          <w:p w14:paraId="1815B6A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对单位可以处7万元以上10万元以下罚款，对个人可以处700元以上1000元以下罚款</w:t>
            </w:r>
          </w:p>
        </w:tc>
        <w:tc>
          <w:tcPr>
            <w:tcW w:w="260" w:type="pct"/>
            <w:gridSpan w:val="3"/>
            <w:vMerge w:val="continue"/>
            <w:shd w:val="clear" w:color="auto" w:fill="auto"/>
            <w:vAlign w:val="center"/>
          </w:tcPr>
          <w:p w14:paraId="28F9E2AB">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vAlign w:val="center"/>
          </w:tcPr>
          <w:p w14:paraId="5CAA2D6B">
            <w:pPr>
              <w:shd w:val="clear"/>
              <w:jc w:val="left"/>
              <w:rPr>
                <w:rFonts w:hint="default" w:ascii="Times New Roman" w:hAnsi="Times New Roman" w:cs="Times New Roman" w:eastAsiaTheme="minorEastAsia"/>
                <w:color w:val="auto"/>
                <w:sz w:val="18"/>
                <w:szCs w:val="18"/>
                <w:highlight w:val="none"/>
              </w:rPr>
            </w:pPr>
          </w:p>
        </w:tc>
      </w:tr>
      <w:tr w14:paraId="3064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958" w:hRule="atLeast"/>
        </w:trPr>
        <w:tc>
          <w:tcPr>
            <w:tcW w:w="116" w:type="pct"/>
            <w:vMerge w:val="restart"/>
            <w:shd w:val="clear" w:color="auto" w:fill="auto"/>
            <w:vAlign w:val="center"/>
          </w:tcPr>
          <w:p w14:paraId="14AFBBDC">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156</w:t>
            </w:r>
          </w:p>
        </w:tc>
        <w:tc>
          <w:tcPr>
            <w:tcW w:w="411" w:type="pct"/>
            <w:gridSpan w:val="2"/>
            <w:vMerge w:val="restart"/>
            <w:shd w:val="clear" w:color="auto" w:fill="auto"/>
            <w:vAlign w:val="center"/>
          </w:tcPr>
          <w:p w14:paraId="3A3112D6">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未建立瓶装气体进货验收制度和销售台账制度</w:t>
            </w:r>
            <w:r>
              <w:rPr>
                <w:rFonts w:hint="default" w:ascii="Times New Roman" w:hAnsi="Times New Roman" w:cs="Times New Roman" w:eastAsiaTheme="minorEastAsia"/>
                <w:color w:val="auto"/>
                <w:kern w:val="0"/>
                <w:sz w:val="18"/>
                <w:szCs w:val="18"/>
                <w:highlight w:val="none"/>
                <w:lang w:eastAsia="zh-CN"/>
              </w:rPr>
              <w:t>的</w:t>
            </w:r>
          </w:p>
        </w:tc>
        <w:tc>
          <w:tcPr>
            <w:tcW w:w="1310" w:type="pct"/>
            <w:gridSpan w:val="2"/>
            <w:vMerge w:val="restart"/>
            <w:shd w:val="clear" w:color="auto" w:fill="auto"/>
            <w:vAlign w:val="center"/>
          </w:tcPr>
          <w:p w14:paraId="484CBBD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《广东省气瓶安全条例》第二十四条第一款：“瓶装气体销售单位应当建立瓶装气体进货验收和销售台账制度，进货验收和销售台账保存期限不得</w:t>
            </w:r>
            <w:r>
              <w:rPr>
                <w:rFonts w:hint="eastAsia" w:ascii="Times New Roman" w:hAnsi="Times New Roman" w:cs="Times New Roman"/>
                <w:color w:val="auto"/>
                <w:kern w:val="0"/>
                <w:sz w:val="18"/>
                <w:szCs w:val="18"/>
                <w:highlight w:val="none"/>
                <w:lang w:eastAsia="zh-CN"/>
              </w:rPr>
              <w:t>少于</w:t>
            </w:r>
            <w:r>
              <w:rPr>
                <w:rFonts w:hint="default" w:ascii="Times New Roman" w:hAnsi="Times New Roman" w:cs="Times New Roman" w:eastAsiaTheme="minorEastAsia"/>
                <w:color w:val="auto"/>
                <w:kern w:val="0"/>
                <w:sz w:val="18"/>
                <w:szCs w:val="18"/>
                <w:highlight w:val="none"/>
              </w:rPr>
              <w:t>两年。”</w:t>
            </w:r>
          </w:p>
        </w:tc>
        <w:tc>
          <w:tcPr>
            <w:tcW w:w="1314" w:type="pct"/>
            <w:gridSpan w:val="2"/>
            <w:vMerge w:val="restart"/>
            <w:shd w:val="clear" w:color="auto" w:fill="auto"/>
            <w:vAlign w:val="center"/>
          </w:tcPr>
          <w:p w14:paraId="6F5B1D0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广东省气瓶安全条例》第三十九条第一款：“违反本条例第二十四条第一款规定，瓶装燃气销售单位未建立瓶装气体进货验收制度和销售台账制度的，由燃气行政主管部门责令改正，处一万元以上五万元以下罚款；情节严重的，处五万元以上十万元以下罚款。”</w:t>
            </w:r>
          </w:p>
        </w:tc>
        <w:tc>
          <w:tcPr>
            <w:tcW w:w="177" w:type="pct"/>
            <w:gridSpan w:val="2"/>
            <w:shd w:val="clear" w:color="auto" w:fill="auto"/>
            <w:vAlign w:val="center"/>
          </w:tcPr>
          <w:p w14:paraId="1FBF1A2E">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vAlign w:val="center"/>
          </w:tcPr>
          <w:p w14:paraId="55A68DC3">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未建立瓶装气体进货验收制度或销售台账制度任一</w:t>
            </w:r>
            <w:r>
              <w:rPr>
                <w:rFonts w:hint="default" w:ascii="Times New Roman" w:hAnsi="Times New Roman" w:cs="Times New Roman" w:eastAsiaTheme="minorEastAsia"/>
                <w:color w:val="auto"/>
                <w:kern w:val="0"/>
                <w:sz w:val="18"/>
                <w:szCs w:val="18"/>
                <w:highlight w:val="none"/>
                <w:lang w:eastAsia="zh-CN"/>
              </w:rPr>
              <w:t>；</w:t>
            </w:r>
          </w:p>
          <w:p w14:paraId="5FEBE1A3">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上月销售额</w:t>
            </w:r>
            <w:r>
              <w:rPr>
                <w:rFonts w:hint="default" w:ascii="Times New Roman" w:hAnsi="Times New Roman" w:cs="Times New Roman" w:eastAsiaTheme="minorEastAsia"/>
                <w:color w:val="auto"/>
                <w:kern w:val="0"/>
                <w:sz w:val="18"/>
                <w:szCs w:val="18"/>
                <w:highlight w:val="none"/>
                <w:lang w:val="en-US" w:eastAsia="zh-CN"/>
              </w:rPr>
              <w:t>10万元以下</w:t>
            </w:r>
          </w:p>
        </w:tc>
        <w:tc>
          <w:tcPr>
            <w:tcW w:w="545" w:type="pct"/>
            <w:gridSpan w:val="2"/>
            <w:shd w:val="clear" w:color="auto" w:fill="auto"/>
            <w:vAlign w:val="center"/>
          </w:tcPr>
          <w:p w14:paraId="3C7C250A">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rPr>
              <w:t>1万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5万</w:t>
            </w:r>
            <w:r>
              <w:rPr>
                <w:rFonts w:hint="default" w:ascii="Times New Roman" w:hAnsi="Times New Roman" w:cs="Times New Roman" w:eastAsiaTheme="minorEastAsia"/>
                <w:color w:val="auto"/>
                <w:kern w:val="0"/>
                <w:sz w:val="18"/>
                <w:szCs w:val="18"/>
                <w:highlight w:val="none"/>
              </w:rPr>
              <w:t>元以下罚款</w:t>
            </w:r>
          </w:p>
        </w:tc>
        <w:tc>
          <w:tcPr>
            <w:tcW w:w="260" w:type="pct"/>
            <w:gridSpan w:val="3"/>
            <w:shd w:val="clear" w:color="auto" w:fill="auto"/>
            <w:vAlign w:val="center"/>
          </w:tcPr>
          <w:p w14:paraId="3EACC5F8">
            <w:pPr>
              <w:shd w:val="clear"/>
              <w:rPr>
                <w:rFonts w:hint="default" w:ascii="Times New Roman" w:hAnsi="Times New Roman" w:cs="Times New Roman"/>
                <w:color w:val="auto"/>
                <w:highlight w:val="none"/>
              </w:rPr>
            </w:pPr>
          </w:p>
          <w:p w14:paraId="23BBD3D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责令改正</w:t>
            </w:r>
          </w:p>
        </w:tc>
        <w:tc>
          <w:tcPr>
            <w:tcW w:w="329" w:type="pct"/>
            <w:gridSpan w:val="2"/>
            <w:vMerge w:val="restart"/>
            <w:shd w:val="clear" w:color="auto" w:fill="auto"/>
            <w:vAlign w:val="center"/>
          </w:tcPr>
          <w:p w14:paraId="16A23E8A">
            <w:pPr>
              <w:shd w:val="clear"/>
              <w:jc w:val="left"/>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本项无轻微情节</w:t>
            </w:r>
          </w:p>
        </w:tc>
      </w:tr>
      <w:tr w14:paraId="5BE0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958" w:hRule="atLeast"/>
        </w:trPr>
        <w:tc>
          <w:tcPr>
            <w:tcW w:w="116" w:type="pct"/>
            <w:vMerge w:val="continue"/>
            <w:shd w:val="clear" w:color="auto" w:fill="auto"/>
            <w:vAlign w:val="top"/>
          </w:tcPr>
          <w:p w14:paraId="29C7B06D">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vAlign w:val="top"/>
          </w:tcPr>
          <w:p w14:paraId="707728C9">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vAlign w:val="top"/>
          </w:tcPr>
          <w:p w14:paraId="66620B96">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vAlign w:val="top"/>
          </w:tcPr>
          <w:p w14:paraId="4429728C">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vAlign w:val="center"/>
          </w:tcPr>
          <w:p w14:paraId="56B91971">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vAlign w:val="center"/>
          </w:tcPr>
          <w:p w14:paraId="56190192">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未建立瓶装气体进货验收制度和销售台账制度</w:t>
            </w:r>
            <w:r>
              <w:rPr>
                <w:rFonts w:hint="default" w:ascii="Times New Roman" w:hAnsi="Times New Roman" w:cs="Times New Roman" w:eastAsiaTheme="minorEastAsia"/>
                <w:color w:val="auto"/>
                <w:kern w:val="0"/>
                <w:sz w:val="18"/>
                <w:szCs w:val="18"/>
                <w:highlight w:val="none"/>
                <w:lang w:eastAsia="zh-CN"/>
              </w:rPr>
              <w:t>；</w:t>
            </w:r>
          </w:p>
          <w:p w14:paraId="4F6D3D09">
            <w:pPr>
              <w:widowControl/>
              <w:shd w:val="clear"/>
              <w:jc w:val="left"/>
              <w:textAlignment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上月销售额</w:t>
            </w:r>
            <w:r>
              <w:rPr>
                <w:rFonts w:hint="default" w:ascii="Times New Roman" w:hAnsi="Times New Roman" w:cs="Times New Roman" w:eastAsiaTheme="minorEastAsia"/>
                <w:color w:val="auto"/>
                <w:kern w:val="0"/>
                <w:sz w:val="18"/>
                <w:szCs w:val="18"/>
                <w:highlight w:val="none"/>
                <w:lang w:val="en-US" w:eastAsia="zh-CN"/>
              </w:rPr>
              <w:t>10万元以上</w:t>
            </w:r>
          </w:p>
        </w:tc>
        <w:tc>
          <w:tcPr>
            <w:tcW w:w="545" w:type="pct"/>
            <w:gridSpan w:val="2"/>
            <w:shd w:val="clear" w:color="auto" w:fill="auto"/>
            <w:vAlign w:val="center"/>
          </w:tcPr>
          <w:p w14:paraId="4297FEA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w:t>
            </w:r>
            <w:r>
              <w:rPr>
                <w:rFonts w:hint="default" w:ascii="Times New Roman" w:hAnsi="Times New Roman" w:cs="Times New Roman" w:eastAsiaTheme="minorEastAsia"/>
                <w:color w:val="auto"/>
                <w:kern w:val="0"/>
                <w:sz w:val="18"/>
                <w:szCs w:val="18"/>
                <w:highlight w:val="none"/>
                <w:lang w:val="en-US"/>
              </w:rPr>
              <w:t>5万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rPr>
              <w:t>10万</w:t>
            </w:r>
            <w:r>
              <w:rPr>
                <w:rFonts w:hint="default" w:ascii="Times New Roman" w:hAnsi="Times New Roman" w:cs="Times New Roman" w:eastAsiaTheme="minorEastAsia"/>
                <w:color w:val="auto"/>
                <w:kern w:val="0"/>
                <w:sz w:val="18"/>
                <w:szCs w:val="18"/>
                <w:highlight w:val="none"/>
              </w:rPr>
              <w:t>元以下罚款</w:t>
            </w:r>
          </w:p>
        </w:tc>
        <w:tc>
          <w:tcPr>
            <w:tcW w:w="260" w:type="pct"/>
            <w:gridSpan w:val="3"/>
            <w:shd w:val="clear" w:color="auto" w:fill="auto"/>
            <w:vAlign w:val="center"/>
          </w:tcPr>
          <w:p w14:paraId="3406A91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责令改正</w:t>
            </w:r>
          </w:p>
        </w:tc>
        <w:tc>
          <w:tcPr>
            <w:tcW w:w="329" w:type="pct"/>
            <w:gridSpan w:val="2"/>
            <w:vMerge w:val="continue"/>
            <w:shd w:val="clear" w:color="auto" w:fill="auto"/>
            <w:vAlign w:val="center"/>
          </w:tcPr>
          <w:p w14:paraId="7D5C783A">
            <w:pPr>
              <w:shd w:val="clear"/>
              <w:jc w:val="left"/>
              <w:rPr>
                <w:rFonts w:hint="default" w:ascii="Times New Roman" w:hAnsi="Times New Roman" w:cs="Times New Roman" w:eastAsiaTheme="minorEastAsia"/>
                <w:color w:val="auto"/>
                <w:sz w:val="18"/>
                <w:szCs w:val="18"/>
                <w:highlight w:val="none"/>
              </w:rPr>
            </w:pPr>
          </w:p>
        </w:tc>
      </w:tr>
      <w:tr w14:paraId="2851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63" w:hRule="atLeast"/>
        </w:trPr>
        <w:tc>
          <w:tcPr>
            <w:tcW w:w="116" w:type="pct"/>
            <w:vMerge w:val="restart"/>
            <w:shd w:val="clear" w:color="auto" w:fill="auto"/>
            <w:vAlign w:val="center"/>
          </w:tcPr>
          <w:p w14:paraId="4A465095">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157</w:t>
            </w:r>
          </w:p>
        </w:tc>
        <w:tc>
          <w:tcPr>
            <w:tcW w:w="411" w:type="pct"/>
            <w:gridSpan w:val="2"/>
            <w:vMerge w:val="restart"/>
            <w:shd w:val="clear" w:color="auto" w:fill="auto"/>
            <w:vAlign w:val="center"/>
          </w:tcPr>
          <w:p w14:paraId="32ADDE63">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销售或者提供无合法来源的瓶装气体</w:t>
            </w:r>
            <w:r>
              <w:rPr>
                <w:rFonts w:hint="default" w:ascii="Times New Roman" w:hAnsi="Times New Roman" w:cs="Times New Roman" w:eastAsiaTheme="minorEastAsia"/>
                <w:color w:val="auto"/>
                <w:kern w:val="0"/>
                <w:sz w:val="18"/>
                <w:szCs w:val="18"/>
                <w:highlight w:val="none"/>
                <w:lang w:eastAsia="zh-CN"/>
              </w:rPr>
              <w:t>的（限燃气）</w:t>
            </w:r>
          </w:p>
        </w:tc>
        <w:tc>
          <w:tcPr>
            <w:tcW w:w="1310" w:type="pct"/>
            <w:gridSpan w:val="2"/>
            <w:vMerge w:val="restart"/>
            <w:shd w:val="clear" w:color="auto" w:fill="auto"/>
            <w:vAlign w:val="center"/>
          </w:tcPr>
          <w:p w14:paraId="5FA58CBD">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《广东省气瓶安全条例》第二十七条</w:t>
            </w:r>
            <w:r>
              <w:rPr>
                <w:rFonts w:hint="default" w:ascii="Times New Roman" w:hAnsi="Times New Roman" w:cs="Times New Roman" w:eastAsiaTheme="minorEastAsia"/>
                <w:color w:val="auto"/>
                <w:kern w:val="0"/>
                <w:sz w:val="18"/>
                <w:szCs w:val="18"/>
                <w:highlight w:val="none"/>
                <w:lang w:eastAsia="zh-CN"/>
              </w:rPr>
              <w:t>第三项</w:t>
            </w:r>
            <w:r>
              <w:rPr>
                <w:rFonts w:hint="default" w:ascii="Times New Roman" w:hAnsi="Times New Roman" w:cs="Times New Roman" w:eastAsiaTheme="minorEastAsia"/>
                <w:color w:val="auto"/>
                <w:kern w:val="0"/>
                <w:sz w:val="18"/>
                <w:szCs w:val="18"/>
                <w:highlight w:val="none"/>
              </w:rPr>
              <w:t>：“任何单位和个人不得有下列经营行为：（三）销售或者提供无合法来源的瓶装气体；”</w:t>
            </w:r>
          </w:p>
        </w:tc>
        <w:tc>
          <w:tcPr>
            <w:tcW w:w="1314" w:type="pct"/>
            <w:gridSpan w:val="2"/>
            <w:vMerge w:val="restart"/>
            <w:shd w:val="clear" w:color="auto" w:fill="auto"/>
            <w:vAlign w:val="center"/>
          </w:tcPr>
          <w:p w14:paraId="0D43636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《广东省气瓶安全条例》第四十二条</w:t>
            </w:r>
            <w:r>
              <w:rPr>
                <w:rFonts w:hint="default" w:ascii="Times New Roman" w:hAnsi="Times New Roman" w:cs="Times New Roman" w:eastAsiaTheme="minorEastAsia"/>
                <w:color w:val="auto"/>
                <w:kern w:val="0"/>
                <w:sz w:val="18"/>
                <w:szCs w:val="18"/>
                <w:highlight w:val="none"/>
                <w:lang w:eastAsia="zh-CN"/>
              </w:rPr>
              <w:t>第三项</w:t>
            </w:r>
            <w:r>
              <w:rPr>
                <w:rFonts w:hint="default" w:ascii="Times New Roman" w:hAnsi="Times New Roman" w:cs="Times New Roman" w:eastAsiaTheme="minorEastAsia"/>
                <w:color w:val="auto"/>
                <w:kern w:val="0"/>
                <w:sz w:val="18"/>
                <w:szCs w:val="18"/>
                <w:highlight w:val="none"/>
              </w:rPr>
              <w:t>：“违反本条例第二十七条规定的，按照以下规定处罚：（三）经营不能提供合法来源的瓶装气体的，由有关行政主管部门责令改正，并可处二万元以上十万元以下罚款；有违法所得的，没收违法所得。”</w:t>
            </w:r>
          </w:p>
        </w:tc>
        <w:tc>
          <w:tcPr>
            <w:tcW w:w="177" w:type="pct"/>
            <w:gridSpan w:val="2"/>
            <w:shd w:val="clear" w:color="auto" w:fill="auto"/>
            <w:vAlign w:val="center"/>
          </w:tcPr>
          <w:p w14:paraId="0ACBD263">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vAlign w:val="center"/>
          </w:tcPr>
          <w:p w14:paraId="2F174E8B">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销售或提供无合法来源的瓶装气体</w:t>
            </w:r>
            <w:r>
              <w:rPr>
                <w:rFonts w:hint="default" w:ascii="Times New Roman" w:hAnsi="Times New Roman" w:cs="Times New Roman" w:eastAsiaTheme="minorEastAsia"/>
                <w:color w:val="auto"/>
                <w:kern w:val="0"/>
                <w:sz w:val="18"/>
                <w:szCs w:val="18"/>
                <w:highlight w:val="none"/>
                <w:lang w:val="en-US" w:eastAsia="zh-CN"/>
              </w:rPr>
              <w:t>20瓶（次）以下</w:t>
            </w:r>
          </w:p>
        </w:tc>
        <w:tc>
          <w:tcPr>
            <w:tcW w:w="545" w:type="pct"/>
            <w:gridSpan w:val="2"/>
            <w:shd w:val="clear" w:color="auto" w:fill="auto"/>
            <w:vAlign w:val="center"/>
          </w:tcPr>
          <w:p w14:paraId="6255BB4F">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w:t>
            </w:r>
            <w:r>
              <w:rPr>
                <w:rFonts w:hint="default" w:ascii="Times New Roman" w:hAnsi="Times New Roman" w:cs="Times New Roman" w:eastAsiaTheme="minorEastAsia"/>
                <w:color w:val="auto"/>
                <w:kern w:val="0"/>
                <w:sz w:val="18"/>
                <w:szCs w:val="18"/>
                <w:highlight w:val="none"/>
                <w:lang w:val="en-US"/>
              </w:rPr>
              <w:t>2万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4.4</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元以下罚款；有违法所得的，没收违法所得</w:t>
            </w:r>
          </w:p>
        </w:tc>
        <w:tc>
          <w:tcPr>
            <w:tcW w:w="260" w:type="pct"/>
            <w:gridSpan w:val="3"/>
            <w:vMerge w:val="restart"/>
            <w:shd w:val="clear" w:color="auto" w:fill="auto"/>
            <w:vAlign w:val="center"/>
          </w:tcPr>
          <w:p w14:paraId="017F5DDA">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责令改正</w:t>
            </w:r>
          </w:p>
          <w:p w14:paraId="25C6DCD6">
            <w:pPr>
              <w:shd w:val="clear"/>
              <w:jc w:val="left"/>
              <w:rPr>
                <w:rFonts w:hint="default" w:ascii="Times New Roman" w:hAnsi="Times New Roman" w:cs="Times New Roman" w:eastAsiaTheme="minorEastAsia"/>
                <w:color w:val="auto"/>
                <w:sz w:val="18"/>
                <w:szCs w:val="18"/>
                <w:highlight w:val="none"/>
              </w:rPr>
            </w:pPr>
          </w:p>
          <w:p w14:paraId="6D31FDF8">
            <w:pPr>
              <w:shd w:val="clear"/>
              <w:jc w:val="left"/>
              <w:rPr>
                <w:rFonts w:hint="default" w:ascii="Times New Roman" w:hAnsi="Times New Roman" w:cs="Times New Roman" w:eastAsiaTheme="minorEastAsia"/>
                <w:color w:val="auto"/>
                <w:sz w:val="18"/>
                <w:szCs w:val="18"/>
                <w:highlight w:val="none"/>
              </w:rPr>
            </w:pPr>
          </w:p>
        </w:tc>
        <w:tc>
          <w:tcPr>
            <w:tcW w:w="329" w:type="pct"/>
            <w:gridSpan w:val="2"/>
            <w:vMerge w:val="restart"/>
            <w:shd w:val="clear" w:color="auto" w:fill="auto"/>
            <w:vAlign w:val="center"/>
          </w:tcPr>
          <w:p w14:paraId="0667B797">
            <w:pPr>
              <w:shd w:val="clear"/>
              <w:jc w:val="left"/>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strike w:val="0"/>
                <w:color w:val="auto"/>
                <w:sz w:val="18"/>
                <w:szCs w:val="18"/>
                <w:highlight w:val="none"/>
                <w:lang w:val="en-US" w:eastAsia="zh-CN"/>
              </w:rPr>
              <w:t>此处气瓶为15公斤规格，其它规格请折算适用</w:t>
            </w:r>
          </w:p>
        </w:tc>
      </w:tr>
      <w:tr w14:paraId="02AB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63" w:hRule="atLeast"/>
        </w:trPr>
        <w:tc>
          <w:tcPr>
            <w:tcW w:w="116" w:type="pct"/>
            <w:vMerge w:val="continue"/>
            <w:shd w:val="clear" w:color="auto" w:fill="auto"/>
            <w:vAlign w:val="top"/>
          </w:tcPr>
          <w:p w14:paraId="4953A900">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vAlign w:val="top"/>
          </w:tcPr>
          <w:p w14:paraId="05C1E5BC">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vAlign w:val="top"/>
          </w:tcPr>
          <w:p w14:paraId="4FF0BA04">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vAlign w:val="top"/>
          </w:tcPr>
          <w:p w14:paraId="38F16CC4">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vAlign w:val="center"/>
          </w:tcPr>
          <w:p w14:paraId="612AD306">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vAlign w:val="center"/>
          </w:tcPr>
          <w:p w14:paraId="62109C70">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销售或提供无合法来源的瓶装气体</w:t>
            </w:r>
            <w:r>
              <w:rPr>
                <w:rFonts w:hint="default" w:ascii="Times New Roman" w:hAnsi="Times New Roman" w:cs="Times New Roman" w:eastAsiaTheme="minorEastAsia"/>
                <w:color w:val="auto"/>
                <w:kern w:val="0"/>
                <w:sz w:val="18"/>
                <w:szCs w:val="18"/>
                <w:highlight w:val="none"/>
                <w:lang w:val="en-US" w:eastAsia="zh-CN"/>
              </w:rPr>
              <w:t>20瓶（次）以上50瓶（次）以下</w:t>
            </w:r>
          </w:p>
        </w:tc>
        <w:tc>
          <w:tcPr>
            <w:tcW w:w="545" w:type="pct"/>
            <w:gridSpan w:val="2"/>
            <w:shd w:val="clear" w:color="auto" w:fill="auto"/>
            <w:vAlign w:val="center"/>
          </w:tcPr>
          <w:p w14:paraId="76E73B7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w:t>
            </w:r>
            <w:r>
              <w:rPr>
                <w:rFonts w:hint="default" w:ascii="Times New Roman" w:hAnsi="Times New Roman" w:cs="Times New Roman" w:eastAsiaTheme="minorEastAsia"/>
                <w:color w:val="auto"/>
                <w:kern w:val="0"/>
                <w:sz w:val="18"/>
                <w:szCs w:val="18"/>
                <w:highlight w:val="none"/>
                <w:lang w:val="en-US" w:eastAsia="zh-CN"/>
              </w:rPr>
              <w:t>4.4</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w:t>
            </w:r>
            <w:r>
              <w:rPr>
                <w:rFonts w:hint="default" w:ascii="Times New Roman" w:hAnsi="Times New Roman" w:cs="Times New Roman" w:eastAsiaTheme="minorEastAsia"/>
                <w:color w:val="auto"/>
                <w:kern w:val="0"/>
                <w:sz w:val="18"/>
                <w:szCs w:val="18"/>
                <w:highlight w:val="none"/>
                <w:lang w:val="en-US" w:eastAsia="zh-CN"/>
              </w:rPr>
              <w:t>7.6</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元以下罚款；有违法所得的，没收违法所得</w:t>
            </w:r>
          </w:p>
        </w:tc>
        <w:tc>
          <w:tcPr>
            <w:tcW w:w="260" w:type="pct"/>
            <w:gridSpan w:val="3"/>
            <w:vMerge w:val="continue"/>
            <w:shd w:val="clear" w:color="auto" w:fill="auto"/>
            <w:vAlign w:val="center"/>
          </w:tcPr>
          <w:p w14:paraId="08B7FEED">
            <w:pPr>
              <w:shd w:val="clear"/>
              <w:jc w:val="left"/>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vAlign w:val="center"/>
          </w:tcPr>
          <w:p w14:paraId="26F1117B">
            <w:pPr>
              <w:shd w:val="clear"/>
              <w:jc w:val="left"/>
              <w:rPr>
                <w:rFonts w:hint="default" w:ascii="Times New Roman" w:hAnsi="Times New Roman" w:cs="Times New Roman" w:eastAsiaTheme="minorEastAsia"/>
                <w:color w:val="auto"/>
                <w:sz w:val="18"/>
                <w:szCs w:val="18"/>
                <w:highlight w:val="none"/>
              </w:rPr>
            </w:pPr>
          </w:p>
        </w:tc>
      </w:tr>
      <w:tr w14:paraId="305E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63" w:hRule="atLeast"/>
        </w:trPr>
        <w:tc>
          <w:tcPr>
            <w:tcW w:w="116" w:type="pct"/>
            <w:vMerge w:val="continue"/>
            <w:shd w:val="clear" w:color="auto" w:fill="auto"/>
            <w:vAlign w:val="top"/>
          </w:tcPr>
          <w:p w14:paraId="1CC31E55">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vAlign w:val="top"/>
          </w:tcPr>
          <w:p w14:paraId="1FBCD0C7">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vAlign w:val="top"/>
          </w:tcPr>
          <w:p w14:paraId="7F8B9846">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vAlign w:val="top"/>
          </w:tcPr>
          <w:p w14:paraId="7FE464C1">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vAlign w:val="center"/>
          </w:tcPr>
          <w:p w14:paraId="328DF77E">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vAlign w:val="center"/>
          </w:tcPr>
          <w:p w14:paraId="3E27A5E0">
            <w:pPr>
              <w:widowControl/>
              <w:shd w:val="clear"/>
              <w:jc w:val="left"/>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销售或提供无合法来源的瓶装气体</w:t>
            </w:r>
            <w:r>
              <w:rPr>
                <w:rFonts w:hint="default" w:ascii="Times New Roman" w:hAnsi="Times New Roman" w:cs="Times New Roman" w:eastAsiaTheme="minorEastAsia"/>
                <w:color w:val="auto"/>
                <w:kern w:val="0"/>
                <w:sz w:val="18"/>
                <w:szCs w:val="18"/>
                <w:highlight w:val="none"/>
                <w:lang w:val="en-US" w:eastAsia="zh-CN"/>
              </w:rPr>
              <w:t>50瓶（次）以上</w:t>
            </w:r>
          </w:p>
        </w:tc>
        <w:tc>
          <w:tcPr>
            <w:tcW w:w="545" w:type="pct"/>
            <w:gridSpan w:val="2"/>
            <w:shd w:val="clear" w:color="auto" w:fill="auto"/>
            <w:vAlign w:val="center"/>
          </w:tcPr>
          <w:p w14:paraId="47E7A307">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可处</w:t>
            </w:r>
            <w:r>
              <w:rPr>
                <w:rFonts w:hint="default" w:ascii="Times New Roman" w:hAnsi="Times New Roman" w:cs="Times New Roman" w:eastAsiaTheme="minorEastAsia"/>
                <w:color w:val="auto"/>
                <w:kern w:val="0"/>
                <w:sz w:val="18"/>
                <w:szCs w:val="18"/>
                <w:highlight w:val="none"/>
                <w:lang w:val="en-US" w:eastAsia="zh-CN"/>
              </w:rPr>
              <w:t>7.6</w:t>
            </w:r>
            <w:r>
              <w:rPr>
                <w:rFonts w:hint="default" w:ascii="Times New Roman" w:hAnsi="Times New Roman" w:cs="Times New Roman" w:eastAsiaTheme="minorEastAsia"/>
                <w:color w:val="auto"/>
                <w:kern w:val="0"/>
                <w:sz w:val="18"/>
                <w:szCs w:val="18"/>
                <w:highlight w:val="none"/>
                <w:lang w:val="en-US"/>
              </w:rPr>
              <w:t>万</w:t>
            </w:r>
            <w:r>
              <w:rPr>
                <w:rFonts w:hint="default" w:ascii="Times New Roman" w:hAnsi="Times New Roman" w:cs="Times New Roman" w:eastAsiaTheme="minorEastAsia"/>
                <w:color w:val="auto"/>
                <w:kern w:val="0"/>
                <w:sz w:val="18"/>
                <w:szCs w:val="18"/>
                <w:highlight w:val="none"/>
              </w:rPr>
              <w:t>元以上10万元以下罚款；有违法所得的，没收违法所得</w:t>
            </w:r>
          </w:p>
        </w:tc>
        <w:tc>
          <w:tcPr>
            <w:tcW w:w="260" w:type="pct"/>
            <w:gridSpan w:val="3"/>
            <w:vMerge w:val="continue"/>
            <w:shd w:val="clear" w:color="auto" w:fill="auto"/>
            <w:vAlign w:val="center"/>
          </w:tcPr>
          <w:p w14:paraId="63284E81">
            <w:pPr>
              <w:shd w:val="clear"/>
              <w:jc w:val="left"/>
              <w:rPr>
                <w:rFonts w:hint="default" w:ascii="Times New Roman" w:hAnsi="Times New Roman" w:cs="Times New Roman" w:eastAsiaTheme="minorEastAsia"/>
                <w:color w:val="auto"/>
                <w:sz w:val="18"/>
                <w:szCs w:val="18"/>
                <w:highlight w:val="none"/>
              </w:rPr>
            </w:pPr>
          </w:p>
        </w:tc>
        <w:tc>
          <w:tcPr>
            <w:tcW w:w="329" w:type="pct"/>
            <w:gridSpan w:val="2"/>
            <w:vMerge w:val="continue"/>
            <w:shd w:val="clear" w:color="auto" w:fill="auto"/>
            <w:vAlign w:val="center"/>
          </w:tcPr>
          <w:p w14:paraId="0BE4CB36">
            <w:pPr>
              <w:shd w:val="clear"/>
              <w:jc w:val="left"/>
              <w:rPr>
                <w:rFonts w:hint="default" w:ascii="Times New Roman" w:hAnsi="Times New Roman" w:cs="Times New Roman" w:eastAsiaTheme="minorEastAsia"/>
                <w:color w:val="auto"/>
                <w:sz w:val="18"/>
                <w:szCs w:val="18"/>
                <w:highlight w:val="none"/>
              </w:rPr>
            </w:pPr>
          </w:p>
        </w:tc>
      </w:tr>
      <w:tr w14:paraId="687A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63" w:hRule="atLeast"/>
        </w:trPr>
        <w:tc>
          <w:tcPr>
            <w:tcW w:w="116" w:type="pct"/>
            <w:vMerge w:val="restart"/>
            <w:shd w:val="clear" w:color="auto" w:fill="auto"/>
            <w:vAlign w:val="center"/>
          </w:tcPr>
          <w:p w14:paraId="578F035D">
            <w:pPr>
              <w:shd w:val="clear"/>
              <w:jc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sz w:val="18"/>
                <w:szCs w:val="18"/>
                <w:highlight w:val="none"/>
                <w:lang w:val="en-US" w:eastAsia="zh-CN"/>
              </w:rPr>
              <w:t>158</w:t>
            </w:r>
          </w:p>
        </w:tc>
        <w:tc>
          <w:tcPr>
            <w:tcW w:w="411" w:type="pct"/>
            <w:gridSpan w:val="2"/>
            <w:vMerge w:val="restart"/>
            <w:shd w:val="clear" w:color="auto" w:fill="auto"/>
            <w:vAlign w:val="center"/>
          </w:tcPr>
          <w:p w14:paraId="3C862A1C">
            <w:pPr>
              <w:shd w:val="clear"/>
              <w:jc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sz w:val="18"/>
                <w:szCs w:val="18"/>
                <w:highlight w:val="none"/>
              </w:rPr>
              <w:t>燃气经营企业超过瓶装燃气供应站等级规定的容积存放瓶装燃气</w:t>
            </w:r>
            <w:r>
              <w:rPr>
                <w:rFonts w:hint="default" w:ascii="Times New Roman" w:hAnsi="Times New Roman" w:cs="Times New Roman" w:eastAsiaTheme="minorEastAsia"/>
                <w:color w:val="auto"/>
                <w:sz w:val="18"/>
                <w:szCs w:val="18"/>
                <w:highlight w:val="none"/>
                <w:lang w:eastAsia="zh-CN"/>
              </w:rPr>
              <w:t>的</w:t>
            </w:r>
          </w:p>
        </w:tc>
        <w:tc>
          <w:tcPr>
            <w:tcW w:w="1310" w:type="pct"/>
            <w:gridSpan w:val="2"/>
            <w:vMerge w:val="restart"/>
            <w:shd w:val="clear" w:color="auto" w:fill="auto"/>
            <w:vAlign w:val="center"/>
          </w:tcPr>
          <w:p w14:paraId="37B29692">
            <w:pPr>
              <w:numPr>
                <w:ilvl w:val="255"/>
                <w:numId w:val="0"/>
              </w:numPr>
              <w:shd w:val="clear"/>
              <w:ind w:left="0" w:leftChars="0" w:firstLine="0" w:firstLineChars="0"/>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《东莞市燃气管理办法》第二十二条</w:t>
            </w:r>
            <w:r>
              <w:rPr>
                <w:rFonts w:hint="default" w:ascii="Times New Roman" w:hAnsi="Times New Roman" w:cs="Times New Roman" w:eastAsiaTheme="minorEastAsia"/>
                <w:color w:val="auto"/>
                <w:sz w:val="18"/>
                <w:szCs w:val="18"/>
                <w:highlight w:val="none"/>
                <w:lang w:eastAsia="zh-CN"/>
              </w:rPr>
              <w:t>第六项</w:t>
            </w:r>
            <w:r>
              <w:rPr>
                <w:rFonts w:hint="default" w:ascii="Times New Roman" w:hAnsi="Times New Roman" w:cs="Times New Roman" w:eastAsiaTheme="minorEastAsia"/>
                <w:color w:val="auto"/>
                <w:sz w:val="18"/>
                <w:szCs w:val="18"/>
                <w:highlight w:val="none"/>
              </w:rPr>
              <w:t>：“瓶装燃气经营企业除遵守本办法第二十条规定外，还应当遵守下列规定：（六）不得超过瓶装燃气供应站等级规定的容积存放瓶装燃气；”</w:t>
            </w:r>
          </w:p>
        </w:tc>
        <w:tc>
          <w:tcPr>
            <w:tcW w:w="1314" w:type="pct"/>
            <w:gridSpan w:val="2"/>
            <w:vMerge w:val="restart"/>
            <w:shd w:val="clear" w:color="auto" w:fill="auto"/>
            <w:vAlign w:val="center"/>
          </w:tcPr>
          <w:p w14:paraId="70888DD1">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《东莞市燃气管理办法》第五十三条第二款：“违反本办法第二十二条第六项至第八项规定的，由燃气行政主管部门责令改正，可以处1万元以下罚款。”</w:t>
            </w:r>
          </w:p>
        </w:tc>
        <w:tc>
          <w:tcPr>
            <w:tcW w:w="177" w:type="pct"/>
            <w:gridSpan w:val="2"/>
            <w:shd w:val="clear" w:color="auto" w:fill="auto"/>
            <w:vAlign w:val="center"/>
          </w:tcPr>
          <w:p w14:paraId="58026823">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vAlign w:val="center"/>
          </w:tcPr>
          <w:p w14:paraId="5EB689B4">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超出</w:t>
            </w:r>
            <w:r>
              <w:rPr>
                <w:rFonts w:hint="default" w:ascii="Times New Roman" w:hAnsi="Times New Roman" w:cs="Times New Roman" w:eastAsiaTheme="minorEastAsia"/>
                <w:color w:val="auto"/>
                <w:kern w:val="0"/>
                <w:sz w:val="18"/>
                <w:szCs w:val="18"/>
                <w:highlight w:val="none"/>
                <w:lang w:eastAsia="zh-CN"/>
              </w:rPr>
              <w:t>规定限值</w:t>
            </w:r>
            <w:r>
              <w:rPr>
                <w:rFonts w:hint="default" w:ascii="Times New Roman" w:hAnsi="Times New Roman" w:cs="Times New Roman" w:eastAsiaTheme="minorEastAsia"/>
                <w:color w:val="auto"/>
                <w:kern w:val="0"/>
                <w:sz w:val="18"/>
                <w:szCs w:val="18"/>
                <w:highlight w:val="none"/>
              </w:rPr>
              <w:t>15%</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vAlign w:val="center"/>
          </w:tcPr>
          <w:p w14:paraId="33A8D997">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sz w:val="18"/>
                <w:szCs w:val="18"/>
                <w:highlight w:val="none"/>
              </w:rPr>
              <w:t>可以处3000元以下罚款</w:t>
            </w:r>
          </w:p>
        </w:tc>
        <w:tc>
          <w:tcPr>
            <w:tcW w:w="260" w:type="pct"/>
            <w:gridSpan w:val="3"/>
            <w:vMerge w:val="restart"/>
            <w:shd w:val="clear" w:color="auto" w:fill="auto"/>
            <w:vAlign w:val="center"/>
          </w:tcPr>
          <w:p w14:paraId="66CE350C">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责令改正</w:t>
            </w:r>
          </w:p>
          <w:p w14:paraId="00A28F2F">
            <w:pPr>
              <w:shd w:val="clear"/>
              <w:jc w:val="left"/>
              <w:rPr>
                <w:rFonts w:hint="default" w:ascii="Times New Roman" w:hAnsi="Times New Roman" w:cs="Times New Roman" w:eastAsiaTheme="minorEastAsia"/>
                <w:color w:val="auto"/>
                <w:kern w:val="0"/>
                <w:sz w:val="18"/>
                <w:szCs w:val="18"/>
                <w:highlight w:val="none"/>
              </w:rPr>
            </w:pPr>
          </w:p>
          <w:p w14:paraId="131EB984">
            <w:pPr>
              <w:shd w:val="clear"/>
              <w:jc w:val="left"/>
              <w:rPr>
                <w:rFonts w:hint="default" w:ascii="Times New Roman" w:hAnsi="Times New Roman" w:cs="Times New Roman" w:eastAsiaTheme="minorEastAsia"/>
                <w:color w:val="auto"/>
                <w:kern w:val="0"/>
                <w:sz w:val="18"/>
                <w:szCs w:val="18"/>
                <w:highlight w:val="none"/>
              </w:rPr>
            </w:pPr>
          </w:p>
        </w:tc>
        <w:tc>
          <w:tcPr>
            <w:tcW w:w="329" w:type="pct"/>
            <w:gridSpan w:val="2"/>
            <w:vMerge w:val="restart"/>
            <w:shd w:val="clear" w:color="auto" w:fill="auto"/>
            <w:vAlign w:val="center"/>
          </w:tcPr>
          <w:p w14:paraId="183F8A88">
            <w:pPr>
              <w:shd w:val="clear"/>
              <w:jc w:val="left"/>
              <w:rPr>
                <w:rFonts w:hint="default" w:ascii="Times New Roman" w:hAnsi="Times New Roman" w:cs="Times New Roman" w:eastAsiaTheme="minorEastAsia"/>
                <w:color w:val="auto"/>
                <w:sz w:val="18"/>
                <w:szCs w:val="18"/>
                <w:highlight w:val="none"/>
                <w:lang w:eastAsia="zh-CN"/>
              </w:rPr>
            </w:pPr>
          </w:p>
        </w:tc>
      </w:tr>
      <w:tr w14:paraId="610E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63" w:hRule="atLeast"/>
        </w:trPr>
        <w:tc>
          <w:tcPr>
            <w:tcW w:w="116" w:type="pct"/>
            <w:vMerge w:val="continue"/>
            <w:shd w:val="clear" w:color="auto" w:fill="auto"/>
            <w:vAlign w:val="top"/>
          </w:tcPr>
          <w:p w14:paraId="03A55090">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vAlign w:val="top"/>
          </w:tcPr>
          <w:p w14:paraId="7B442398">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vAlign w:val="top"/>
          </w:tcPr>
          <w:p w14:paraId="378453A1">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vAlign w:val="top"/>
          </w:tcPr>
          <w:p w14:paraId="1E11A308">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vAlign w:val="center"/>
          </w:tcPr>
          <w:p w14:paraId="653E7BD0">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vAlign w:val="center"/>
          </w:tcPr>
          <w:p w14:paraId="1DE7D16E">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超出规定</w:t>
            </w:r>
            <w:r>
              <w:rPr>
                <w:rFonts w:hint="default" w:ascii="Times New Roman" w:hAnsi="Times New Roman" w:cs="Times New Roman" w:eastAsiaTheme="minorEastAsia"/>
                <w:color w:val="auto"/>
                <w:kern w:val="0"/>
                <w:sz w:val="18"/>
                <w:szCs w:val="18"/>
                <w:highlight w:val="none"/>
                <w:lang w:eastAsia="zh-CN"/>
              </w:rPr>
              <w:t>限值</w:t>
            </w:r>
            <w:r>
              <w:rPr>
                <w:rFonts w:hint="default" w:ascii="Times New Roman" w:hAnsi="Times New Roman" w:cs="Times New Roman" w:eastAsiaTheme="minorEastAsia"/>
                <w:color w:val="auto"/>
                <w:kern w:val="0"/>
                <w:sz w:val="18"/>
                <w:szCs w:val="18"/>
                <w:highlight w:val="none"/>
              </w:rPr>
              <w:t>15%</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30%</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vAlign w:val="center"/>
          </w:tcPr>
          <w:p w14:paraId="46C3CB04">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sz w:val="18"/>
                <w:szCs w:val="18"/>
                <w:highlight w:val="none"/>
              </w:rPr>
              <w:t>可以处3000元以上7000元以下罚款</w:t>
            </w:r>
          </w:p>
        </w:tc>
        <w:tc>
          <w:tcPr>
            <w:tcW w:w="260" w:type="pct"/>
            <w:gridSpan w:val="3"/>
            <w:vMerge w:val="continue"/>
            <w:shd w:val="clear" w:color="auto" w:fill="auto"/>
            <w:vAlign w:val="center"/>
          </w:tcPr>
          <w:p w14:paraId="777AB04F">
            <w:pPr>
              <w:shd w:val="clear"/>
              <w:jc w:val="left"/>
              <w:rPr>
                <w:rFonts w:hint="default" w:ascii="Times New Roman" w:hAnsi="Times New Roman" w:cs="Times New Roman" w:eastAsiaTheme="minorEastAsia"/>
                <w:color w:val="auto"/>
                <w:kern w:val="0"/>
                <w:sz w:val="18"/>
                <w:szCs w:val="18"/>
                <w:highlight w:val="none"/>
              </w:rPr>
            </w:pPr>
          </w:p>
        </w:tc>
        <w:tc>
          <w:tcPr>
            <w:tcW w:w="329" w:type="pct"/>
            <w:gridSpan w:val="2"/>
            <w:vMerge w:val="continue"/>
            <w:shd w:val="clear" w:color="auto" w:fill="auto"/>
            <w:vAlign w:val="center"/>
          </w:tcPr>
          <w:p w14:paraId="6FA76D57">
            <w:pPr>
              <w:shd w:val="clear"/>
              <w:jc w:val="left"/>
              <w:rPr>
                <w:rFonts w:hint="default" w:ascii="Times New Roman" w:hAnsi="Times New Roman" w:cs="Times New Roman" w:eastAsiaTheme="minorEastAsia"/>
                <w:color w:val="auto"/>
                <w:sz w:val="18"/>
                <w:szCs w:val="18"/>
                <w:highlight w:val="none"/>
              </w:rPr>
            </w:pPr>
          </w:p>
        </w:tc>
      </w:tr>
      <w:tr w14:paraId="1E1A8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63" w:hRule="atLeast"/>
        </w:trPr>
        <w:tc>
          <w:tcPr>
            <w:tcW w:w="116" w:type="pct"/>
            <w:vMerge w:val="continue"/>
            <w:shd w:val="clear" w:color="auto" w:fill="auto"/>
            <w:vAlign w:val="top"/>
          </w:tcPr>
          <w:p w14:paraId="34672A36">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vAlign w:val="top"/>
          </w:tcPr>
          <w:p w14:paraId="3C33CF1D">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vAlign w:val="top"/>
          </w:tcPr>
          <w:p w14:paraId="14733BF3">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vAlign w:val="top"/>
          </w:tcPr>
          <w:p w14:paraId="38D7F3DF">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vAlign w:val="center"/>
          </w:tcPr>
          <w:p w14:paraId="2A02D1C5">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vAlign w:val="center"/>
          </w:tcPr>
          <w:p w14:paraId="0C234738">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超出规定</w:t>
            </w:r>
            <w:r>
              <w:rPr>
                <w:rFonts w:hint="default" w:ascii="Times New Roman" w:hAnsi="Times New Roman" w:cs="Times New Roman" w:eastAsiaTheme="minorEastAsia"/>
                <w:color w:val="auto"/>
                <w:kern w:val="0"/>
                <w:sz w:val="18"/>
                <w:szCs w:val="18"/>
                <w:highlight w:val="none"/>
                <w:lang w:eastAsia="zh-CN"/>
              </w:rPr>
              <w:t>限值</w:t>
            </w:r>
            <w:r>
              <w:rPr>
                <w:rFonts w:hint="default" w:ascii="Times New Roman" w:hAnsi="Times New Roman" w:cs="Times New Roman" w:eastAsiaTheme="minorEastAsia"/>
                <w:color w:val="auto"/>
                <w:kern w:val="0"/>
                <w:sz w:val="18"/>
                <w:szCs w:val="18"/>
                <w:highlight w:val="none"/>
              </w:rPr>
              <w:t>30%</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vAlign w:val="center"/>
          </w:tcPr>
          <w:p w14:paraId="7894FA51">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sz w:val="18"/>
                <w:szCs w:val="18"/>
                <w:highlight w:val="none"/>
              </w:rPr>
              <w:t>可以处7000元以上</w:t>
            </w:r>
            <w:r>
              <w:rPr>
                <w:rFonts w:hint="default" w:ascii="Times New Roman" w:hAnsi="Times New Roman" w:cs="Times New Roman" w:eastAsiaTheme="minorEastAsia"/>
                <w:color w:val="auto"/>
                <w:sz w:val="18"/>
                <w:szCs w:val="18"/>
                <w:highlight w:val="none"/>
                <w:lang w:val="en-US"/>
              </w:rPr>
              <w:t>1万</w:t>
            </w:r>
            <w:r>
              <w:rPr>
                <w:rFonts w:hint="default" w:ascii="Times New Roman" w:hAnsi="Times New Roman" w:cs="Times New Roman" w:eastAsiaTheme="minorEastAsia"/>
                <w:color w:val="auto"/>
                <w:sz w:val="18"/>
                <w:szCs w:val="18"/>
                <w:highlight w:val="none"/>
              </w:rPr>
              <w:t>元以下罚款</w:t>
            </w:r>
          </w:p>
        </w:tc>
        <w:tc>
          <w:tcPr>
            <w:tcW w:w="260" w:type="pct"/>
            <w:gridSpan w:val="3"/>
            <w:vMerge w:val="continue"/>
            <w:shd w:val="clear" w:color="auto" w:fill="auto"/>
            <w:vAlign w:val="center"/>
          </w:tcPr>
          <w:p w14:paraId="3EB612DB">
            <w:pPr>
              <w:shd w:val="clear"/>
              <w:jc w:val="left"/>
              <w:rPr>
                <w:rFonts w:hint="default" w:ascii="Times New Roman" w:hAnsi="Times New Roman" w:cs="Times New Roman" w:eastAsiaTheme="minorEastAsia"/>
                <w:color w:val="auto"/>
                <w:kern w:val="0"/>
                <w:sz w:val="18"/>
                <w:szCs w:val="18"/>
                <w:highlight w:val="none"/>
              </w:rPr>
            </w:pPr>
          </w:p>
        </w:tc>
        <w:tc>
          <w:tcPr>
            <w:tcW w:w="329" w:type="pct"/>
            <w:gridSpan w:val="2"/>
            <w:vMerge w:val="continue"/>
            <w:shd w:val="clear" w:color="auto" w:fill="auto"/>
            <w:vAlign w:val="center"/>
          </w:tcPr>
          <w:p w14:paraId="54287E2B">
            <w:pPr>
              <w:shd w:val="clear"/>
              <w:jc w:val="left"/>
              <w:rPr>
                <w:rFonts w:hint="default" w:ascii="Times New Roman" w:hAnsi="Times New Roman" w:cs="Times New Roman" w:eastAsiaTheme="minorEastAsia"/>
                <w:color w:val="auto"/>
                <w:sz w:val="18"/>
                <w:szCs w:val="18"/>
                <w:highlight w:val="none"/>
              </w:rPr>
            </w:pPr>
          </w:p>
        </w:tc>
      </w:tr>
      <w:tr w14:paraId="4365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63" w:hRule="atLeast"/>
        </w:trPr>
        <w:tc>
          <w:tcPr>
            <w:tcW w:w="116" w:type="pct"/>
            <w:vMerge w:val="restart"/>
            <w:shd w:val="clear" w:color="auto" w:fill="auto"/>
            <w:vAlign w:val="center"/>
          </w:tcPr>
          <w:p w14:paraId="68E4CEBE">
            <w:pPr>
              <w:shd w:val="clear"/>
              <w:jc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sz w:val="18"/>
                <w:szCs w:val="18"/>
                <w:highlight w:val="none"/>
                <w:lang w:val="en-US" w:eastAsia="zh-CN"/>
              </w:rPr>
              <w:t>159</w:t>
            </w:r>
          </w:p>
        </w:tc>
        <w:tc>
          <w:tcPr>
            <w:tcW w:w="411" w:type="pct"/>
            <w:gridSpan w:val="2"/>
            <w:vMerge w:val="restart"/>
            <w:shd w:val="clear" w:color="auto" w:fill="auto"/>
            <w:vAlign w:val="center"/>
          </w:tcPr>
          <w:p w14:paraId="6E6954E2">
            <w:pPr>
              <w:shd w:val="clear"/>
              <w:jc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sz w:val="18"/>
                <w:szCs w:val="18"/>
                <w:highlight w:val="none"/>
              </w:rPr>
              <w:t>瓶装燃气经营企业利用配送车辆流动销售燃气</w:t>
            </w:r>
            <w:r>
              <w:rPr>
                <w:rFonts w:hint="default" w:ascii="Times New Roman" w:hAnsi="Times New Roman" w:cs="Times New Roman" w:eastAsiaTheme="minorEastAsia"/>
                <w:color w:val="auto"/>
                <w:sz w:val="18"/>
                <w:szCs w:val="18"/>
                <w:highlight w:val="none"/>
                <w:lang w:eastAsia="zh-CN"/>
              </w:rPr>
              <w:t>的</w:t>
            </w:r>
          </w:p>
        </w:tc>
        <w:tc>
          <w:tcPr>
            <w:tcW w:w="1310" w:type="pct"/>
            <w:gridSpan w:val="2"/>
            <w:vMerge w:val="restart"/>
            <w:shd w:val="clear" w:color="auto" w:fill="auto"/>
            <w:vAlign w:val="center"/>
          </w:tcPr>
          <w:p w14:paraId="5AE6395E">
            <w:pPr>
              <w:widowControl/>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《东莞市燃气管理办法》第二十二条</w:t>
            </w:r>
            <w:r>
              <w:rPr>
                <w:rFonts w:hint="default" w:ascii="Times New Roman" w:hAnsi="Times New Roman" w:cs="Times New Roman" w:eastAsiaTheme="minorEastAsia"/>
                <w:color w:val="auto"/>
                <w:sz w:val="18"/>
                <w:szCs w:val="18"/>
                <w:highlight w:val="none"/>
                <w:lang w:eastAsia="zh-CN"/>
              </w:rPr>
              <w:t>第八项</w:t>
            </w:r>
            <w:r>
              <w:rPr>
                <w:rFonts w:hint="default" w:ascii="Times New Roman" w:hAnsi="Times New Roman" w:cs="Times New Roman" w:eastAsiaTheme="minorEastAsia"/>
                <w:color w:val="auto"/>
                <w:sz w:val="18"/>
                <w:szCs w:val="18"/>
                <w:highlight w:val="none"/>
              </w:rPr>
              <w:t>：“瓶装燃气经营企业除遵守本办法第二十条规定外，还应当遵守下列规定：（八）不得利用配送车辆流动销售燃气。”</w:t>
            </w:r>
          </w:p>
        </w:tc>
        <w:tc>
          <w:tcPr>
            <w:tcW w:w="1314" w:type="pct"/>
            <w:gridSpan w:val="2"/>
            <w:vMerge w:val="restart"/>
            <w:shd w:val="clear" w:color="auto" w:fill="auto"/>
            <w:vAlign w:val="center"/>
          </w:tcPr>
          <w:p w14:paraId="717DD03D">
            <w:pPr>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《东莞市燃气管理办法》第五十三条第二款：“违反本办法第二十二条第六项至第八项规定的，由燃气行政主管部门责令改正，可以处1万元以下罚款。”</w:t>
            </w:r>
          </w:p>
        </w:tc>
        <w:tc>
          <w:tcPr>
            <w:tcW w:w="177" w:type="pct"/>
            <w:gridSpan w:val="2"/>
            <w:shd w:val="clear" w:color="auto" w:fill="auto"/>
            <w:vAlign w:val="center"/>
          </w:tcPr>
          <w:p w14:paraId="6CA3AB6A">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vAlign w:val="center"/>
          </w:tcPr>
          <w:p w14:paraId="73A13EF6">
            <w:pPr>
              <w:widowControl/>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销售10瓶</w:t>
            </w:r>
            <w:r>
              <w:rPr>
                <w:rFonts w:hint="default" w:ascii="Times New Roman" w:hAnsi="Times New Roman" w:cs="Times New Roman" w:eastAsiaTheme="minorEastAsia"/>
                <w:color w:val="auto"/>
                <w:sz w:val="18"/>
                <w:szCs w:val="18"/>
                <w:highlight w:val="none"/>
                <w:lang w:eastAsia="zh-CN"/>
              </w:rPr>
              <w:t>以下</w:t>
            </w:r>
          </w:p>
        </w:tc>
        <w:tc>
          <w:tcPr>
            <w:tcW w:w="545" w:type="pct"/>
            <w:gridSpan w:val="2"/>
            <w:shd w:val="clear" w:color="auto" w:fill="auto"/>
            <w:vAlign w:val="center"/>
          </w:tcPr>
          <w:p w14:paraId="4C80621E">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sz w:val="18"/>
                <w:szCs w:val="18"/>
                <w:highlight w:val="none"/>
              </w:rPr>
              <w:t>可以处3000元以下罚款</w:t>
            </w:r>
          </w:p>
        </w:tc>
        <w:tc>
          <w:tcPr>
            <w:tcW w:w="260" w:type="pct"/>
            <w:gridSpan w:val="3"/>
            <w:vMerge w:val="restart"/>
            <w:shd w:val="clear" w:color="auto" w:fill="auto"/>
            <w:vAlign w:val="center"/>
          </w:tcPr>
          <w:p w14:paraId="723C547B">
            <w:pPr>
              <w:shd w:val="clear"/>
              <w:jc w:val="left"/>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责令改正</w:t>
            </w:r>
          </w:p>
          <w:p w14:paraId="25B8A17D">
            <w:pPr>
              <w:shd w:val="clear"/>
              <w:jc w:val="left"/>
              <w:rPr>
                <w:rFonts w:hint="default" w:ascii="Times New Roman" w:hAnsi="Times New Roman" w:cs="Times New Roman" w:eastAsiaTheme="minorEastAsia"/>
                <w:color w:val="auto"/>
                <w:kern w:val="0"/>
                <w:sz w:val="18"/>
                <w:szCs w:val="18"/>
                <w:highlight w:val="none"/>
              </w:rPr>
            </w:pPr>
          </w:p>
          <w:p w14:paraId="62D014B2">
            <w:pPr>
              <w:shd w:val="clear"/>
              <w:jc w:val="left"/>
              <w:rPr>
                <w:rFonts w:hint="default" w:ascii="Times New Roman" w:hAnsi="Times New Roman" w:cs="Times New Roman" w:eastAsiaTheme="minorEastAsia"/>
                <w:color w:val="auto"/>
                <w:kern w:val="0"/>
                <w:sz w:val="18"/>
                <w:szCs w:val="18"/>
                <w:highlight w:val="none"/>
              </w:rPr>
            </w:pPr>
          </w:p>
        </w:tc>
        <w:tc>
          <w:tcPr>
            <w:tcW w:w="329" w:type="pct"/>
            <w:gridSpan w:val="2"/>
            <w:vMerge w:val="restart"/>
            <w:shd w:val="clear" w:color="auto" w:fill="auto"/>
            <w:vAlign w:val="center"/>
          </w:tcPr>
          <w:p w14:paraId="62296EBB">
            <w:pPr>
              <w:shd w:val="clear"/>
              <w:jc w:val="left"/>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strike w:val="0"/>
                <w:color w:val="auto"/>
                <w:sz w:val="18"/>
                <w:szCs w:val="18"/>
                <w:highlight w:val="none"/>
                <w:lang w:val="en-US" w:eastAsia="zh-CN"/>
              </w:rPr>
              <w:t>此处气瓶为15公斤规格，其它规格请折算适用</w:t>
            </w:r>
          </w:p>
        </w:tc>
      </w:tr>
      <w:tr w14:paraId="56A2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300" w:hRule="atLeast"/>
        </w:trPr>
        <w:tc>
          <w:tcPr>
            <w:tcW w:w="116" w:type="pct"/>
            <w:vMerge w:val="continue"/>
            <w:shd w:val="clear" w:color="auto" w:fill="auto"/>
            <w:vAlign w:val="top"/>
          </w:tcPr>
          <w:p w14:paraId="252B9756">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vAlign w:val="top"/>
          </w:tcPr>
          <w:p w14:paraId="1CC985E2">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vAlign w:val="top"/>
          </w:tcPr>
          <w:p w14:paraId="4BADA14C">
            <w:pPr>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vAlign w:val="top"/>
          </w:tcPr>
          <w:p w14:paraId="48E5BD77">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vAlign w:val="center"/>
          </w:tcPr>
          <w:p w14:paraId="6D148F38">
            <w:pPr>
              <w:widowControl/>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一般</w:t>
            </w:r>
          </w:p>
        </w:tc>
        <w:tc>
          <w:tcPr>
            <w:tcW w:w="533" w:type="pct"/>
            <w:gridSpan w:val="3"/>
            <w:shd w:val="clear" w:color="auto" w:fill="auto"/>
            <w:vAlign w:val="center"/>
          </w:tcPr>
          <w:p w14:paraId="7C9C807B">
            <w:pPr>
              <w:widowControl/>
              <w:shd w:val="clear"/>
              <w:jc w:val="left"/>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销售10瓶</w:t>
            </w:r>
            <w:r>
              <w:rPr>
                <w:rFonts w:hint="default" w:ascii="Times New Roman" w:hAnsi="Times New Roman" w:cs="Times New Roman" w:eastAsiaTheme="minorEastAsia"/>
                <w:color w:val="auto"/>
                <w:sz w:val="18"/>
                <w:szCs w:val="18"/>
                <w:highlight w:val="none"/>
                <w:lang w:eastAsia="zh-CN"/>
              </w:rPr>
              <w:t>以上</w:t>
            </w:r>
            <w:r>
              <w:rPr>
                <w:rFonts w:hint="default" w:ascii="Times New Roman" w:hAnsi="Times New Roman" w:cs="Times New Roman" w:eastAsiaTheme="minorEastAsia"/>
                <w:color w:val="auto"/>
                <w:sz w:val="18"/>
                <w:szCs w:val="18"/>
                <w:highlight w:val="none"/>
              </w:rPr>
              <w:t>20瓶</w:t>
            </w:r>
            <w:r>
              <w:rPr>
                <w:rFonts w:hint="default" w:ascii="Times New Roman" w:hAnsi="Times New Roman" w:cs="Times New Roman" w:eastAsiaTheme="minorEastAsia"/>
                <w:color w:val="auto"/>
                <w:sz w:val="18"/>
                <w:szCs w:val="18"/>
                <w:highlight w:val="none"/>
                <w:lang w:eastAsia="zh-CN"/>
              </w:rPr>
              <w:t>以下</w:t>
            </w:r>
          </w:p>
        </w:tc>
        <w:tc>
          <w:tcPr>
            <w:tcW w:w="545" w:type="pct"/>
            <w:gridSpan w:val="2"/>
            <w:shd w:val="clear" w:color="auto" w:fill="auto"/>
            <w:vAlign w:val="center"/>
          </w:tcPr>
          <w:p w14:paraId="363FA599">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sz w:val="18"/>
                <w:szCs w:val="18"/>
                <w:highlight w:val="none"/>
              </w:rPr>
              <w:t>可以处3000元以上7000元以下罚款</w:t>
            </w:r>
          </w:p>
        </w:tc>
        <w:tc>
          <w:tcPr>
            <w:tcW w:w="260" w:type="pct"/>
            <w:gridSpan w:val="3"/>
            <w:vMerge w:val="continue"/>
            <w:shd w:val="clear" w:color="auto" w:fill="auto"/>
            <w:vAlign w:val="center"/>
          </w:tcPr>
          <w:p w14:paraId="25F7A6A4">
            <w:pPr>
              <w:shd w:val="clear"/>
              <w:jc w:val="left"/>
              <w:rPr>
                <w:rFonts w:hint="default" w:ascii="Times New Roman" w:hAnsi="Times New Roman" w:cs="Times New Roman" w:eastAsiaTheme="minorEastAsia"/>
                <w:color w:val="auto"/>
                <w:kern w:val="0"/>
                <w:sz w:val="18"/>
                <w:szCs w:val="18"/>
                <w:highlight w:val="none"/>
              </w:rPr>
            </w:pPr>
          </w:p>
        </w:tc>
        <w:tc>
          <w:tcPr>
            <w:tcW w:w="329" w:type="pct"/>
            <w:gridSpan w:val="2"/>
            <w:vMerge w:val="continue"/>
            <w:shd w:val="clear" w:color="auto" w:fill="auto"/>
            <w:vAlign w:val="center"/>
          </w:tcPr>
          <w:p w14:paraId="64006893">
            <w:pPr>
              <w:shd w:val="clear"/>
              <w:jc w:val="left"/>
              <w:rPr>
                <w:rFonts w:hint="default" w:ascii="Times New Roman" w:hAnsi="Times New Roman" w:cs="Times New Roman" w:eastAsiaTheme="minorEastAsia"/>
                <w:color w:val="auto"/>
                <w:sz w:val="18"/>
                <w:szCs w:val="18"/>
                <w:highlight w:val="none"/>
              </w:rPr>
            </w:pPr>
          </w:p>
        </w:tc>
      </w:tr>
      <w:tr w14:paraId="0FC7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63" w:hRule="atLeast"/>
        </w:trPr>
        <w:tc>
          <w:tcPr>
            <w:tcW w:w="116" w:type="pct"/>
            <w:vMerge w:val="continue"/>
            <w:shd w:val="clear" w:color="auto" w:fill="auto"/>
            <w:vAlign w:val="center"/>
          </w:tcPr>
          <w:p w14:paraId="1FC9A8DD">
            <w:pPr>
              <w:shd w:val="clear"/>
              <w:jc w:val="center"/>
              <w:rPr>
                <w:rFonts w:hint="default" w:ascii="Times New Roman" w:hAnsi="Times New Roman" w:cs="Times New Roman" w:eastAsiaTheme="minorEastAsia"/>
                <w:color w:val="auto"/>
                <w:sz w:val="18"/>
                <w:szCs w:val="18"/>
                <w:highlight w:val="none"/>
              </w:rPr>
            </w:pPr>
          </w:p>
        </w:tc>
        <w:tc>
          <w:tcPr>
            <w:tcW w:w="411" w:type="pct"/>
            <w:gridSpan w:val="2"/>
            <w:vMerge w:val="continue"/>
            <w:shd w:val="clear" w:color="auto" w:fill="auto"/>
            <w:vAlign w:val="center"/>
          </w:tcPr>
          <w:p w14:paraId="743354B2">
            <w:pPr>
              <w:shd w:val="clear"/>
              <w:jc w:val="center"/>
              <w:rPr>
                <w:rFonts w:hint="default" w:ascii="Times New Roman" w:hAnsi="Times New Roman" w:cs="Times New Roman" w:eastAsiaTheme="minorEastAsia"/>
                <w:color w:val="auto"/>
                <w:sz w:val="18"/>
                <w:szCs w:val="18"/>
                <w:highlight w:val="none"/>
              </w:rPr>
            </w:pPr>
          </w:p>
        </w:tc>
        <w:tc>
          <w:tcPr>
            <w:tcW w:w="1310" w:type="pct"/>
            <w:gridSpan w:val="2"/>
            <w:vMerge w:val="continue"/>
            <w:shd w:val="clear" w:color="auto" w:fill="auto"/>
            <w:vAlign w:val="center"/>
          </w:tcPr>
          <w:p w14:paraId="04D43B17">
            <w:pPr>
              <w:widowControl/>
              <w:shd w:val="clear"/>
              <w:jc w:val="left"/>
              <w:rPr>
                <w:rFonts w:hint="default" w:ascii="Times New Roman" w:hAnsi="Times New Roman" w:cs="Times New Roman" w:eastAsiaTheme="minorEastAsia"/>
                <w:color w:val="auto"/>
                <w:sz w:val="18"/>
                <w:szCs w:val="18"/>
                <w:highlight w:val="none"/>
              </w:rPr>
            </w:pPr>
          </w:p>
        </w:tc>
        <w:tc>
          <w:tcPr>
            <w:tcW w:w="1314" w:type="pct"/>
            <w:gridSpan w:val="2"/>
            <w:vMerge w:val="continue"/>
            <w:shd w:val="clear" w:color="auto" w:fill="auto"/>
            <w:vAlign w:val="center"/>
          </w:tcPr>
          <w:p w14:paraId="35DBEB3B">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vAlign w:val="center"/>
          </w:tcPr>
          <w:p w14:paraId="78FD116C">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vAlign w:val="center"/>
          </w:tcPr>
          <w:p w14:paraId="7F23D903">
            <w:pPr>
              <w:widowControl/>
              <w:shd w:val="clear"/>
              <w:jc w:val="left"/>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sz w:val="18"/>
                <w:szCs w:val="18"/>
                <w:highlight w:val="none"/>
              </w:rPr>
              <w:t>销售20瓶</w:t>
            </w:r>
            <w:r>
              <w:rPr>
                <w:rFonts w:hint="default" w:ascii="Times New Roman" w:hAnsi="Times New Roman" w:cs="Times New Roman" w:eastAsiaTheme="minorEastAsia"/>
                <w:color w:val="auto"/>
                <w:sz w:val="18"/>
                <w:szCs w:val="18"/>
                <w:highlight w:val="none"/>
                <w:lang w:eastAsia="zh-CN"/>
              </w:rPr>
              <w:t>以上</w:t>
            </w:r>
          </w:p>
        </w:tc>
        <w:tc>
          <w:tcPr>
            <w:tcW w:w="545" w:type="pct"/>
            <w:gridSpan w:val="2"/>
            <w:shd w:val="clear" w:color="auto" w:fill="auto"/>
            <w:vAlign w:val="center"/>
          </w:tcPr>
          <w:p w14:paraId="59ACA160">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sz w:val="18"/>
                <w:szCs w:val="18"/>
                <w:highlight w:val="none"/>
              </w:rPr>
              <w:t>可以处7000元以上</w:t>
            </w:r>
            <w:r>
              <w:rPr>
                <w:rFonts w:hint="default" w:ascii="Times New Roman" w:hAnsi="Times New Roman" w:cs="Times New Roman" w:eastAsiaTheme="minorEastAsia"/>
                <w:color w:val="auto"/>
                <w:sz w:val="18"/>
                <w:szCs w:val="18"/>
                <w:highlight w:val="none"/>
                <w:lang w:val="en-US"/>
              </w:rPr>
              <w:t>1万</w:t>
            </w:r>
            <w:r>
              <w:rPr>
                <w:rFonts w:hint="default" w:ascii="Times New Roman" w:hAnsi="Times New Roman" w:cs="Times New Roman" w:eastAsiaTheme="minorEastAsia"/>
                <w:color w:val="auto"/>
                <w:sz w:val="18"/>
                <w:szCs w:val="18"/>
                <w:highlight w:val="none"/>
              </w:rPr>
              <w:t>元以下罚款</w:t>
            </w:r>
          </w:p>
        </w:tc>
        <w:tc>
          <w:tcPr>
            <w:tcW w:w="260" w:type="pct"/>
            <w:gridSpan w:val="3"/>
            <w:vMerge w:val="continue"/>
            <w:shd w:val="clear" w:color="auto" w:fill="auto"/>
            <w:vAlign w:val="center"/>
          </w:tcPr>
          <w:p w14:paraId="21E7C2B9">
            <w:pPr>
              <w:shd w:val="clear"/>
              <w:jc w:val="left"/>
              <w:rPr>
                <w:rFonts w:hint="default" w:ascii="Times New Roman" w:hAnsi="Times New Roman" w:cs="Times New Roman" w:eastAsiaTheme="minorEastAsia"/>
                <w:color w:val="auto"/>
                <w:kern w:val="0"/>
                <w:sz w:val="18"/>
                <w:szCs w:val="18"/>
                <w:highlight w:val="none"/>
              </w:rPr>
            </w:pPr>
          </w:p>
        </w:tc>
        <w:tc>
          <w:tcPr>
            <w:tcW w:w="329" w:type="pct"/>
            <w:gridSpan w:val="2"/>
            <w:vMerge w:val="continue"/>
            <w:shd w:val="clear" w:color="auto" w:fill="auto"/>
            <w:vAlign w:val="center"/>
          </w:tcPr>
          <w:p w14:paraId="3A219648">
            <w:pPr>
              <w:shd w:val="clear"/>
              <w:jc w:val="left"/>
              <w:rPr>
                <w:rFonts w:hint="default" w:ascii="Times New Roman" w:hAnsi="Times New Roman" w:cs="Times New Roman" w:eastAsiaTheme="minorEastAsia"/>
                <w:color w:val="auto"/>
                <w:sz w:val="18"/>
                <w:szCs w:val="18"/>
                <w:highlight w:val="none"/>
              </w:rPr>
            </w:pPr>
          </w:p>
        </w:tc>
      </w:tr>
      <w:tr w14:paraId="7EF7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618" w:hRule="atLeast"/>
        </w:trPr>
        <w:tc>
          <w:tcPr>
            <w:tcW w:w="4999" w:type="pct"/>
            <w:gridSpan w:val="19"/>
            <w:shd w:val="clear" w:color="auto" w:fill="auto"/>
            <w:vAlign w:val="center"/>
          </w:tcPr>
          <w:p w14:paraId="537BBE20">
            <w:pPr>
              <w:pStyle w:val="2"/>
              <w:shd w:val="clear"/>
              <w:rPr>
                <w:rFonts w:hint="default" w:ascii="Times New Roman" w:hAnsi="Times New Roman" w:cs="Times New Roman" w:eastAsiaTheme="minorEastAsia"/>
                <w:color w:val="auto"/>
                <w:szCs w:val="18"/>
                <w:highlight w:val="none"/>
              </w:rPr>
            </w:pPr>
            <w:bookmarkStart w:id="107" w:name="_Toc327758854"/>
            <w:bookmarkStart w:id="108" w:name="_Toc28534"/>
            <w:bookmarkStart w:id="109" w:name="_Toc106686602"/>
            <w:bookmarkStart w:id="110" w:name="_Toc23743"/>
            <w:bookmarkStart w:id="111" w:name="_Toc1656806837"/>
            <w:bookmarkStart w:id="112" w:name="_Toc176645002"/>
            <w:bookmarkStart w:id="113" w:name="_Toc564523536"/>
            <w:bookmarkStart w:id="114" w:name="_Toc1498517811"/>
            <w:bookmarkStart w:id="115" w:name="_Toc913451639"/>
            <w:bookmarkStart w:id="116" w:name="_Toc420585956"/>
            <w:bookmarkStart w:id="117" w:name="_Toc1073497767"/>
            <w:bookmarkStart w:id="118" w:name="_Toc941470464"/>
            <w:bookmarkStart w:id="119" w:name="_Toc1407665980"/>
            <w:bookmarkStart w:id="120" w:name="_Toc1737800432"/>
            <w:bookmarkStart w:id="121" w:name="_Toc1622875997"/>
            <w:bookmarkStart w:id="122" w:name="_Toc1955192947"/>
            <w:bookmarkStart w:id="123" w:name="_Toc1338706586"/>
            <w:r>
              <w:rPr>
                <w:rFonts w:hint="default" w:ascii="Times New Roman" w:hAnsi="Times New Roman" w:eastAsiaTheme="minorEastAsia"/>
                <w:lang w:val="en-US" w:eastAsia="zh-CN"/>
              </w:rPr>
              <w:t>六</w:t>
            </w:r>
            <w:r>
              <w:rPr>
                <w:rFonts w:hint="default" w:ascii="Times New Roman" w:hAnsi="Times New Roman" w:eastAsiaTheme="minorEastAsia"/>
              </w:rPr>
              <w:t>、城乡规划管理（第</w:t>
            </w:r>
            <w:r>
              <w:rPr>
                <w:rFonts w:hint="default" w:ascii="Times New Roman" w:hAnsi="Times New Roman" w:eastAsiaTheme="minorEastAsia"/>
                <w:lang w:val="en-US" w:eastAsia="zh-CN"/>
              </w:rPr>
              <w:t>160</w:t>
            </w:r>
            <w:r>
              <w:rPr>
                <w:rFonts w:hint="default" w:ascii="Times New Roman" w:hAnsi="Times New Roman" w:eastAsiaTheme="minorEastAsia"/>
              </w:rPr>
              <w:t>项-第</w:t>
            </w:r>
            <w:r>
              <w:rPr>
                <w:rFonts w:hint="default" w:ascii="Times New Roman" w:hAnsi="Times New Roman" w:eastAsiaTheme="minorEastAsia"/>
                <w:lang w:val="en-US" w:eastAsia="zh-CN"/>
              </w:rPr>
              <w:t>165</w:t>
            </w:r>
            <w:r>
              <w:rPr>
                <w:rFonts w:hint="default" w:ascii="Times New Roman" w:hAnsi="Times New Roman" w:eastAsiaTheme="minorEastAsia"/>
              </w:rPr>
              <w:t>项，共</w:t>
            </w:r>
            <w:r>
              <w:rPr>
                <w:rFonts w:hint="default" w:ascii="Times New Roman" w:hAnsi="Times New Roman" w:eastAsiaTheme="minorEastAsia"/>
                <w:lang w:val="en-US" w:eastAsia="zh-CN"/>
              </w:rPr>
              <w:t>6</w:t>
            </w:r>
            <w:r>
              <w:rPr>
                <w:rFonts w:hint="default" w:ascii="Times New Roman" w:hAnsi="Times New Roman" w:eastAsiaTheme="minorEastAsia"/>
              </w:rPr>
              <w:t>项）</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tc>
      </w:tr>
      <w:tr w14:paraId="231A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63" w:hRule="atLeast"/>
        </w:trPr>
        <w:tc>
          <w:tcPr>
            <w:tcW w:w="117" w:type="pct"/>
            <w:gridSpan w:val="2"/>
            <w:vMerge w:val="restart"/>
            <w:shd w:val="clear" w:color="auto" w:fill="auto"/>
            <w:vAlign w:val="center"/>
          </w:tcPr>
          <w:p w14:paraId="40555244">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160</w:t>
            </w:r>
          </w:p>
        </w:tc>
        <w:tc>
          <w:tcPr>
            <w:tcW w:w="412" w:type="pct"/>
            <w:gridSpan w:val="2"/>
            <w:vMerge w:val="restart"/>
            <w:shd w:val="clear" w:color="auto" w:fill="auto"/>
            <w:vAlign w:val="center"/>
          </w:tcPr>
          <w:p w14:paraId="5BBF931E">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kern w:val="0"/>
                <w:sz w:val="18"/>
                <w:szCs w:val="18"/>
                <w:highlight w:val="none"/>
              </w:rPr>
              <w:t>未取得建设工程规划许可证或者未按照建设工程规划许可证的规定进行建设，尚可采取改正措施消除对规划实施的影响</w:t>
            </w:r>
            <w:r>
              <w:rPr>
                <w:rFonts w:hint="default" w:ascii="Times New Roman" w:hAnsi="Times New Roman" w:cs="Times New Roman" w:eastAsiaTheme="minorEastAsia"/>
                <w:color w:val="auto"/>
                <w:kern w:val="0"/>
                <w:sz w:val="18"/>
                <w:szCs w:val="18"/>
                <w:highlight w:val="none"/>
                <w:lang w:eastAsia="zh-CN"/>
              </w:rPr>
              <w:t>的</w:t>
            </w:r>
          </w:p>
        </w:tc>
        <w:tc>
          <w:tcPr>
            <w:tcW w:w="1311" w:type="pct"/>
            <w:gridSpan w:val="2"/>
            <w:vMerge w:val="restart"/>
            <w:shd w:val="clear" w:color="auto" w:fill="auto"/>
            <w:vAlign w:val="center"/>
          </w:tcPr>
          <w:p w14:paraId="054F845F">
            <w:pPr>
              <w:widowControl/>
              <w:shd w:val="clear"/>
              <w:ind w:firstLine="0" w:firstLineChars="0"/>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1.《中华人民共和国城乡规划法》第四十条第一款：“在城市、镇规划区内进行建筑物、构筑物、道路、管线和其他工程建设的，建设单位或者个人应当向城市、县人民政府城乡规划主管部门或者省、自治区、直辖市人民政府确定的镇人民政府申请办理建设工程规划许可证。” 第四十三条第一款：“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w:t>
            </w:r>
            <w:r>
              <w:rPr>
                <w:rFonts w:hint="default" w:ascii="Times New Roman" w:hAnsi="Times New Roman" w:cs="Times New Roman" w:eastAsiaTheme="minorEastAsia"/>
                <w:color w:val="auto"/>
                <w:kern w:val="0"/>
                <w:sz w:val="18"/>
                <w:szCs w:val="18"/>
                <w:highlight w:val="none"/>
              </w:rPr>
              <w:br w:type="textWrapping"/>
            </w:r>
            <w:r>
              <w:rPr>
                <w:rFonts w:hint="default" w:ascii="Times New Roman" w:hAnsi="Times New Roman" w:cs="Times New Roman" w:eastAsiaTheme="minorEastAsia"/>
                <w:color w:val="auto"/>
                <w:kern w:val="0"/>
                <w:sz w:val="18"/>
                <w:szCs w:val="18"/>
                <w:highlight w:val="none"/>
              </w:rPr>
              <w:t>2.《广东省城乡规划条例》第四十条第一款：“在城市、镇规划区范围内进行建筑物、构筑物、道路、桥梁和管线等工程建设的，建设单位或者个人应当向城市、县人民政府城乡规划主管部门或者省人民政府指定的镇人民政府申请办理建设工程规划许可证。”</w:t>
            </w:r>
          </w:p>
        </w:tc>
        <w:tc>
          <w:tcPr>
            <w:tcW w:w="1315" w:type="pct"/>
            <w:gridSpan w:val="2"/>
            <w:vMerge w:val="restart"/>
            <w:shd w:val="clear" w:color="auto" w:fill="auto"/>
            <w:vAlign w:val="center"/>
          </w:tcPr>
          <w:p w14:paraId="4C059AED">
            <w:pPr>
              <w:widowControl/>
              <w:shd w:val="clear"/>
              <w:spacing w:before="240"/>
              <w:jc w:val="left"/>
              <w:textAlignment w:val="center"/>
              <w:rPr>
                <w:rFonts w:hint="default" w:ascii="Times New Roman" w:hAnsi="Times New Roman" w:cs="Times New Roman" w:eastAsiaTheme="minorEastAsia"/>
                <w:color w:val="auto"/>
                <w:sz w:val="18"/>
                <w:szCs w:val="18"/>
                <w:highlight w:val="none"/>
              </w:rPr>
            </w:pPr>
            <w:r>
              <w:rPr>
                <w:rStyle w:val="15"/>
                <w:rFonts w:hint="default" w:ascii="Times New Roman" w:hAnsi="Times New Roman" w:cs="Times New Roman" w:eastAsiaTheme="minorEastAsia"/>
                <w:color w:val="auto"/>
                <w:sz w:val="18"/>
                <w:szCs w:val="18"/>
                <w:highlight w:val="none"/>
              </w:rPr>
              <w:t>1.《中华人民共和国城乡规划法》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Style w:val="15"/>
                <w:rFonts w:hint="default" w:ascii="Times New Roman" w:hAnsi="Times New Roman" w:cs="Times New Roman" w:eastAsiaTheme="minorEastAsia"/>
                <w:color w:val="auto"/>
                <w:sz w:val="18"/>
                <w:szCs w:val="18"/>
                <w:highlight w:val="none"/>
              </w:rPr>
              <w:br w:type="textWrapping"/>
            </w:r>
            <w:r>
              <w:rPr>
                <w:rStyle w:val="15"/>
                <w:rFonts w:hint="default" w:ascii="Times New Roman" w:hAnsi="Times New Roman" w:cs="Times New Roman" w:eastAsiaTheme="minorEastAsia"/>
                <w:color w:val="auto"/>
                <w:sz w:val="18"/>
                <w:szCs w:val="18"/>
                <w:highlight w:val="none"/>
              </w:rPr>
              <w:t>2.《广东省城乡规划条例》第八十条第一款：“建设单位或者个人违反本条例第四十条规定，未依法取得建设工程规划许可证或者未按照建设工程规划许可证的规定进行建设的，由当地城市、县人民政府城乡规划主管部门责令停止建设。尚可采取改正措施消除对规划实施的影响的，责令限期改正，并处建设工程造价百分之五以上百分之十以下的罚款。无法采取改正措施消除影响的，责令限期拆除；不能拆除的，没收实物或者违法收入，可以并处建设工程造价百分之十以下的罚款。”</w:t>
            </w:r>
          </w:p>
        </w:tc>
        <w:tc>
          <w:tcPr>
            <w:tcW w:w="177" w:type="pct"/>
            <w:gridSpan w:val="2"/>
            <w:shd w:val="clear" w:color="auto" w:fill="auto"/>
            <w:vAlign w:val="center"/>
          </w:tcPr>
          <w:p w14:paraId="1029D281">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vAlign w:val="center"/>
          </w:tcPr>
          <w:p w14:paraId="708FEE36">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违法建筑面积1000平方米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vAlign w:val="center"/>
          </w:tcPr>
          <w:p w14:paraId="37C3022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处建设工程造价5%</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lang w:val="en-US" w:eastAsia="zh-CN"/>
              </w:rPr>
              <w:t>6.5%以下</w:t>
            </w:r>
            <w:r>
              <w:rPr>
                <w:rFonts w:hint="default" w:ascii="Times New Roman" w:hAnsi="Times New Roman" w:cs="Times New Roman" w:eastAsiaTheme="minorEastAsia"/>
                <w:color w:val="auto"/>
                <w:kern w:val="0"/>
                <w:sz w:val="18"/>
                <w:szCs w:val="18"/>
                <w:highlight w:val="none"/>
              </w:rPr>
              <w:t>的罚款</w:t>
            </w:r>
          </w:p>
        </w:tc>
        <w:tc>
          <w:tcPr>
            <w:tcW w:w="260" w:type="pct"/>
            <w:gridSpan w:val="3"/>
            <w:vMerge w:val="restart"/>
            <w:shd w:val="clear" w:color="auto" w:fill="auto"/>
            <w:vAlign w:val="center"/>
          </w:tcPr>
          <w:p w14:paraId="645286D8">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责令停止建设；尚可采取改正措施消除对规划实施的影响的，限期改正</w:t>
            </w:r>
          </w:p>
          <w:p w14:paraId="27E0FDF7">
            <w:pPr>
              <w:widowControl/>
              <w:shd w:val="clear"/>
              <w:jc w:val="left"/>
              <w:textAlignment w:val="center"/>
              <w:rPr>
                <w:rFonts w:hint="default" w:ascii="Times New Roman" w:hAnsi="Times New Roman" w:cs="Times New Roman" w:eastAsiaTheme="minorEastAsia"/>
                <w:color w:val="auto"/>
                <w:sz w:val="18"/>
                <w:szCs w:val="18"/>
                <w:highlight w:val="none"/>
              </w:rPr>
            </w:pPr>
          </w:p>
          <w:p w14:paraId="09A59C6E">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6" w:type="pct"/>
            <w:vMerge w:val="restart"/>
            <w:shd w:val="clear" w:color="auto" w:fill="auto"/>
            <w:vAlign w:val="center"/>
          </w:tcPr>
          <w:p w14:paraId="2EB61E93">
            <w:pPr>
              <w:widowControl/>
              <w:shd w:val="clear"/>
              <w:jc w:val="left"/>
              <w:textAlignment w:val="center"/>
              <w:rPr>
                <w:rFonts w:hint="default" w:ascii="Times New Roman" w:hAnsi="Times New Roman" w:cs="Times New Roman" w:eastAsiaTheme="minorEastAsia"/>
                <w:color w:val="auto"/>
                <w:sz w:val="18"/>
                <w:szCs w:val="18"/>
                <w:highlight w:val="none"/>
              </w:rPr>
            </w:pPr>
          </w:p>
        </w:tc>
      </w:tr>
      <w:tr w14:paraId="5B80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63" w:hRule="atLeast"/>
        </w:trPr>
        <w:tc>
          <w:tcPr>
            <w:tcW w:w="117" w:type="pct"/>
            <w:gridSpan w:val="2"/>
            <w:vMerge w:val="continue"/>
            <w:shd w:val="clear" w:color="auto" w:fill="auto"/>
          </w:tcPr>
          <w:p w14:paraId="084F49DE">
            <w:pPr>
              <w:shd w:val="clear"/>
              <w:jc w:val="center"/>
              <w:rPr>
                <w:rFonts w:hint="default" w:ascii="Times New Roman" w:hAnsi="Times New Roman" w:cs="Times New Roman" w:eastAsiaTheme="minorEastAsia"/>
                <w:color w:val="auto"/>
                <w:sz w:val="18"/>
                <w:szCs w:val="18"/>
                <w:highlight w:val="none"/>
              </w:rPr>
            </w:pPr>
          </w:p>
        </w:tc>
        <w:tc>
          <w:tcPr>
            <w:tcW w:w="412" w:type="pct"/>
            <w:gridSpan w:val="2"/>
            <w:vMerge w:val="continue"/>
            <w:shd w:val="clear" w:color="auto" w:fill="auto"/>
          </w:tcPr>
          <w:p w14:paraId="221D7BEC">
            <w:pPr>
              <w:shd w:val="clear"/>
              <w:jc w:val="center"/>
              <w:rPr>
                <w:rFonts w:hint="default" w:ascii="Times New Roman" w:hAnsi="Times New Roman" w:cs="Times New Roman" w:eastAsiaTheme="minorEastAsia"/>
                <w:color w:val="auto"/>
                <w:sz w:val="18"/>
                <w:szCs w:val="18"/>
                <w:highlight w:val="none"/>
              </w:rPr>
            </w:pPr>
          </w:p>
        </w:tc>
        <w:tc>
          <w:tcPr>
            <w:tcW w:w="1311" w:type="pct"/>
            <w:gridSpan w:val="2"/>
            <w:vMerge w:val="continue"/>
            <w:shd w:val="clear" w:color="auto" w:fill="auto"/>
          </w:tcPr>
          <w:p w14:paraId="30860DB1">
            <w:pPr>
              <w:shd w:val="clear"/>
              <w:jc w:val="left"/>
              <w:rPr>
                <w:rFonts w:hint="default" w:ascii="Times New Roman" w:hAnsi="Times New Roman" w:cs="Times New Roman" w:eastAsiaTheme="minorEastAsia"/>
                <w:color w:val="auto"/>
                <w:sz w:val="18"/>
                <w:szCs w:val="18"/>
                <w:highlight w:val="none"/>
              </w:rPr>
            </w:pPr>
          </w:p>
        </w:tc>
        <w:tc>
          <w:tcPr>
            <w:tcW w:w="1315" w:type="pct"/>
            <w:gridSpan w:val="2"/>
            <w:vMerge w:val="continue"/>
            <w:shd w:val="clear" w:color="auto" w:fill="auto"/>
          </w:tcPr>
          <w:p w14:paraId="1FF1A657">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vAlign w:val="center"/>
          </w:tcPr>
          <w:p w14:paraId="1CE3E22A">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vAlign w:val="center"/>
          </w:tcPr>
          <w:p w14:paraId="6FCA822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违法建筑面积1000平方米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3000平方米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vAlign w:val="center"/>
          </w:tcPr>
          <w:p w14:paraId="593B854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处建设工程造价</w:t>
            </w:r>
            <w:r>
              <w:rPr>
                <w:rFonts w:hint="default" w:ascii="Times New Roman" w:hAnsi="Times New Roman" w:cs="Times New Roman" w:eastAsiaTheme="minorEastAsia"/>
                <w:color w:val="auto"/>
                <w:kern w:val="0"/>
                <w:sz w:val="18"/>
                <w:szCs w:val="18"/>
                <w:highlight w:val="none"/>
                <w:lang w:val="en-US" w:eastAsia="zh-CN"/>
              </w:rPr>
              <w:t>6.5%以上8.5%以下</w:t>
            </w:r>
            <w:r>
              <w:rPr>
                <w:rFonts w:hint="default" w:ascii="Times New Roman" w:hAnsi="Times New Roman" w:cs="Times New Roman" w:eastAsiaTheme="minorEastAsia"/>
                <w:color w:val="auto"/>
                <w:kern w:val="0"/>
                <w:sz w:val="18"/>
                <w:szCs w:val="18"/>
                <w:highlight w:val="none"/>
              </w:rPr>
              <w:t>的罚款</w:t>
            </w:r>
          </w:p>
        </w:tc>
        <w:tc>
          <w:tcPr>
            <w:tcW w:w="260" w:type="pct"/>
            <w:gridSpan w:val="3"/>
            <w:vMerge w:val="continue"/>
            <w:shd w:val="clear" w:color="auto" w:fill="auto"/>
            <w:vAlign w:val="center"/>
          </w:tcPr>
          <w:p w14:paraId="47275FE0">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6" w:type="pct"/>
            <w:vMerge w:val="continue"/>
            <w:shd w:val="clear" w:color="auto" w:fill="auto"/>
          </w:tcPr>
          <w:p w14:paraId="2F00B8E8">
            <w:pPr>
              <w:shd w:val="clear"/>
              <w:jc w:val="left"/>
              <w:rPr>
                <w:rFonts w:hint="default" w:ascii="Times New Roman" w:hAnsi="Times New Roman" w:cs="Times New Roman" w:eastAsiaTheme="minorEastAsia"/>
                <w:color w:val="auto"/>
                <w:sz w:val="18"/>
                <w:szCs w:val="18"/>
                <w:highlight w:val="none"/>
              </w:rPr>
            </w:pPr>
          </w:p>
        </w:tc>
      </w:tr>
      <w:tr w14:paraId="3267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63" w:hRule="atLeast"/>
        </w:trPr>
        <w:tc>
          <w:tcPr>
            <w:tcW w:w="117" w:type="pct"/>
            <w:gridSpan w:val="2"/>
            <w:vMerge w:val="continue"/>
            <w:shd w:val="clear" w:color="auto" w:fill="auto"/>
          </w:tcPr>
          <w:p w14:paraId="4433210A">
            <w:pPr>
              <w:shd w:val="clear"/>
              <w:jc w:val="center"/>
              <w:rPr>
                <w:rFonts w:hint="default" w:ascii="Times New Roman" w:hAnsi="Times New Roman" w:cs="Times New Roman" w:eastAsiaTheme="minorEastAsia"/>
                <w:color w:val="auto"/>
                <w:sz w:val="18"/>
                <w:szCs w:val="18"/>
                <w:highlight w:val="none"/>
              </w:rPr>
            </w:pPr>
          </w:p>
        </w:tc>
        <w:tc>
          <w:tcPr>
            <w:tcW w:w="412" w:type="pct"/>
            <w:gridSpan w:val="2"/>
            <w:vMerge w:val="continue"/>
            <w:shd w:val="clear" w:color="auto" w:fill="auto"/>
          </w:tcPr>
          <w:p w14:paraId="4C7A0D82">
            <w:pPr>
              <w:shd w:val="clear"/>
              <w:jc w:val="center"/>
              <w:rPr>
                <w:rFonts w:hint="default" w:ascii="Times New Roman" w:hAnsi="Times New Roman" w:cs="Times New Roman" w:eastAsiaTheme="minorEastAsia"/>
                <w:color w:val="auto"/>
                <w:sz w:val="18"/>
                <w:szCs w:val="18"/>
                <w:highlight w:val="none"/>
              </w:rPr>
            </w:pPr>
          </w:p>
        </w:tc>
        <w:tc>
          <w:tcPr>
            <w:tcW w:w="1311" w:type="pct"/>
            <w:gridSpan w:val="2"/>
            <w:vMerge w:val="continue"/>
            <w:shd w:val="clear" w:color="auto" w:fill="auto"/>
          </w:tcPr>
          <w:p w14:paraId="766E9C66">
            <w:pPr>
              <w:shd w:val="clear"/>
              <w:jc w:val="left"/>
              <w:rPr>
                <w:rFonts w:hint="default" w:ascii="Times New Roman" w:hAnsi="Times New Roman" w:cs="Times New Roman" w:eastAsiaTheme="minorEastAsia"/>
                <w:color w:val="auto"/>
                <w:sz w:val="18"/>
                <w:szCs w:val="18"/>
                <w:highlight w:val="none"/>
              </w:rPr>
            </w:pPr>
          </w:p>
        </w:tc>
        <w:tc>
          <w:tcPr>
            <w:tcW w:w="1315" w:type="pct"/>
            <w:gridSpan w:val="2"/>
            <w:vMerge w:val="continue"/>
            <w:shd w:val="clear" w:color="auto" w:fill="auto"/>
          </w:tcPr>
          <w:p w14:paraId="04D21660">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vAlign w:val="center"/>
          </w:tcPr>
          <w:p w14:paraId="41218720">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vAlign w:val="center"/>
          </w:tcPr>
          <w:p w14:paraId="22622E55">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违法建筑面积3000平方米</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vAlign w:val="center"/>
          </w:tcPr>
          <w:p w14:paraId="4546231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处建设工程造价</w:t>
            </w:r>
            <w:r>
              <w:rPr>
                <w:rFonts w:hint="default" w:ascii="Times New Roman" w:hAnsi="Times New Roman" w:cs="Times New Roman" w:eastAsiaTheme="minorEastAsia"/>
                <w:color w:val="auto"/>
                <w:kern w:val="0"/>
                <w:sz w:val="18"/>
                <w:szCs w:val="18"/>
                <w:highlight w:val="none"/>
                <w:lang w:val="en-US" w:eastAsia="zh-CN"/>
              </w:rPr>
              <w:t>8.5%以上</w:t>
            </w:r>
            <w:r>
              <w:rPr>
                <w:rFonts w:hint="default" w:ascii="Times New Roman" w:hAnsi="Times New Roman" w:cs="Times New Roman" w:eastAsiaTheme="minorEastAsia"/>
                <w:color w:val="auto"/>
                <w:kern w:val="0"/>
                <w:sz w:val="18"/>
                <w:szCs w:val="18"/>
                <w:highlight w:val="none"/>
              </w:rPr>
              <w:t>10%</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rPr>
              <w:t>的罚款</w:t>
            </w:r>
          </w:p>
        </w:tc>
        <w:tc>
          <w:tcPr>
            <w:tcW w:w="260" w:type="pct"/>
            <w:gridSpan w:val="3"/>
            <w:vMerge w:val="continue"/>
            <w:shd w:val="clear" w:color="auto" w:fill="auto"/>
            <w:vAlign w:val="center"/>
          </w:tcPr>
          <w:p w14:paraId="0DA5BD02">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6" w:type="pct"/>
            <w:vMerge w:val="continue"/>
            <w:shd w:val="clear" w:color="auto" w:fill="auto"/>
          </w:tcPr>
          <w:p w14:paraId="03430598">
            <w:pPr>
              <w:shd w:val="clear"/>
              <w:jc w:val="left"/>
              <w:rPr>
                <w:rFonts w:hint="default" w:ascii="Times New Roman" w:hAnsi="Times New Roman" w:cs="Times New Roman" w:eastAsiaTheme="minorEastAsia"/>
                <w:color w:val="auto"/>
                <w:sz w:val="18"/>
                <w:szCs w:val="18"/>
                <w:highlight w:val="none"/>
              </w:rPr>
            </w:pPr>
          </w:p>
        </w:tc>
      </w:tr>
      <w:tr w14:paraId="606D9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452" w:hRule="atLeast"/>
        </w:trPr>
        <w:tc>
          <w:tcPr>
            <w:tcW w:w="117" w:type="pct"/>
            <w:gridSpan w:val="2"/>
            <w:vMerge w:val="restart"/>
            <w:shd w:val="clear" w:color="auto" w:fill="auto"/>
            <w:vAlign w:val="center"/>
          </w:tcPr>
          <w:p w14:paraId="7A1C64FD">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161</w:t>
            </w:r>
          </w:p>
        </w:tc>
        <w:tc>
          <w:tcPr>
            <w:tcW w:w="412" w:type="pct"/>
            <w:gridSpan w:val="2"/>
            <w:vMerge w:val="restart"/>
            <w:shd w:val="clear" w:color="auto" w:fill="auto"/>
            <w:vAlign w:val="center"/>
          </w:tcPr>
          <w:p w14:paraId="3F533228">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未取得建设工程规划许可证或者未按照建设工程规划许可证的规定进行建设，无法采取改正措施消除影响的</w:t>
            </w:r>
          </w:p>
        </w:tc>
        <w:tc>
          <w:tcPr>
            <w:tcW w:w="1311" w:type="pct"/>
            <w:gridSpan w:val="2"/>
            <w:vMerge w:val="restart"/>
            <w:shd w:val="clear" w:color="auto" w:fill="auto"/>
            <w:vAlign w:val="center"/>
          </w:tcPr>
          <w:p w14:paraId="164B1C92">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1.《中华人民共和国城乡规划法》第四十条第一款：“在城市、镇规划区内进行建筑物、构筑物、道路、管线和其他工程建设的，建设单位或者个人应当向城市、县人民政府城乡规划主管部门或者省、自治区、直辖市人民政府确定的镇人民政府申请办理建设工程规划许可证。” 第四十三条第一款：“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w:t>
            </w:r>
          </w:p>
          <w:p w14:paraId="4D878E9E">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2.《广东省城乡规划条例》第四十条第一款：“在城市、镇规划区范围内进行建筑物、构筑物、道路、桥梁和管线等工程建设的，建设单位或者个人应当向城市、县人民政府城乡规划主管部门或者省人民政府指定的镇人民政府申请办理建设工程规划许可证。”</w:t>
            </w:r>
          </w:p>
        </w:tc>
        <w:tc>
          <w:tcPr>
            <w:tcW w:w="1315" w:type="pct"/>
            <w:gridSpan w:val="2"/>
            <w:vMerge w:val="restart"/>
            <w:shd w:val="clear" w:color="auto" w:fill="auto"/>
            <w:vAlign w:val="center"/>
          </w:tcPr>
          <w:p w14:paraId="476E3372">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Style w:val="15"/>
                <w:rFonts w:hint="default" w:ascii="Times New Roman" w:hAnsi="Times New Roman" w:cs="Times New Roman" w:eastAsiaTheme="minorEastAsia"/>
                <w:color w:val="auto"/>
                <w:sz w:val="18"/>
                <w:szCs w:val="18"/>
                <w:highlight w:val="none"/>
              </w:rPr>
              <w:t>1.《中华人民共和国城乡规划法》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Style w:val="15"/>
                <w:rFonts w:hint="default" w:ascii="Times New Roman" w:hAnsi="Times New Roman" w:cs="Times New Roman" w:eastAsiaTheme="minorEastAsia"/>
                <w:color w:val="auto"/>
                <w:sz w:val="18"/>
                <w:szCs w:val="18"/>
                <w:highlight w:val="none"/>
              </w:rPr>
              <w:br w:type="textWrapping"/>
            </w:r>
            <w:r>
              <w:rPr>
                <w:rStyle w:val="15"/>
                <w:rFonts w:hint="default" w:ascii="Times New Roman" w:hAnsi="Times New Roman" w:cs="Times New Roman" w:eastAsiaTheme="minorEastAsia"/>
                <w:color w:val="auto"/>
                <w:sz w:val="18"/>
                <w:szCs w:val="18"/>
                <w:highlight w:val="none"/>
              </w:rPr>
              <w:t>2.《广东省城乡规划条例》第八十条第一款：“建设单位或者个人违反本条例第四十条规定，未依法取得建设工程规划许可证或者未按照建设工程规划许可证的规定进行建设的，由当地城市、县人民政府城乡规划主管部门责令停止建设。尚可采取改正措施消除对规划实施的影响的，责令限期改正，并处建设工程造价百分之五以上百分之十以下的罚款。无法采取改正措施消除影响的，责令限期拆除；不能拆除的，没收实物或者违法收入，可以并处建设工程造价百分之十以下的罚款。”</w:t>
            </w:r>
          </w:p>
        </w:tc>
        <w:tc>
          <w:tcPr>
            <w:tcW w:w="177" w:type="pct"/>
            <w:gridSpan w:val="2"/>
            <w:shd w:val="clear" w:color="auto" w:fill="auto"/>
            <w:vAlign w:val="center"/>
          </w:tcPr>
          <w:p w14:paraId="65A63B8E">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eastAsia" w:ascii="Times New Roman" w:hAnsi="Times New Roman" w:cs="Times New Roman"/>
                <w:color w:val="auto"/>
                <w:kern w:val="0"/>
                <w:sz w:val="18"/>
                <w:szCs w:val="18"/>
                <w:highlight w:val="none"/>
                <w:lang w:val="en-US" w:eastAsia="zh-CN"/>
              </w:rPr>
              <w:t>轻微</w:t>
            </w:r>
          </w:p>
        </w:tc>
        <w:tc>
          <w:tcPr>
            <w:tcW w:w="533" w:type="pct"/>
            <w:gridSpan w:val="3"/>
            <w:shd w:val="clear" w:color="auto" w:fill="auto"/>
            <w:vAlign w:val="center"/>
          </w:tcPr>
          <w:p w14:paraId="204A592A">
            <w:pPr>
              <w:widowControl/>
              <w:shd w:val="clear"/>
              <w:jc w:val="left"/>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eastAsia="zh-CN"/>
              </w:rPr>
              <w:t>违法建筑面积</w:t>
            </w:r>
            <w:r>
              <w:rPr>
                <w:rFonts w:hint="default" w:ascii="Times New Roman" w:hAnsi="Times New Roman" w:cs="Times New Roman" w:eastAsiaTheme="minorEastAsia"/>
                <w:color w:val="auto"/>
                <w:kern w:val="0"/>
                <w:sz w:val="18"/>
                <w:szCs w:val="18"/>
                <w:highlight w:val="none"/>
                <w:lang w:val="en-US" w:eastAsia="zh-CN"/>
              </w:rPr>
              <w:t>1000平方米以下</w:t>
            </w:r>
          </w:p>
        </w:tc>
        <w:tc>
          <w:tcPr>
            <w:tcW w:w="545" w:type="pct"/>
            <w:gridSpan w:val="2"/>
            <w:shd w:val="clear" w:color="auto" w:fill="auto"/>
            <w:vAlign w:val="center"/>
          </w:tcPr>
          <w:p w14:paraId="408E3210">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不能拆除的，没收实物或者违法收入，可以并处建设工程造价</w:t>
            </w:r>
            <w:r>
              <w:rPr>
                <w:rFonts w:hint="default" w:ascii="Times New Roman" w:hAnsi="Times New Roman" w:cs="Times New Roman" w:eastAsiaTheme="minorEastAsia"/>
                <w:color w:val="auto"/>
                <w:kern w:val="0"/>
                <w:sz w:val="18"/>
                <w:szCs w:val="18"/>
                <w:highlight w:val="none"/>
                <w:lang w:val="en-US" w:eastAsia="zh-CN"/>
              </w:rPr>
              <w:t>3%</w:t>
            </w:r>
            <w:r>
              <w:rPr>
                <w:rFonts w:hint="default" w:ascii="Times New Roman" w:hAnsi="Times New Roman" w:cs="Times New Roman" w:eastAsiaTheme="minorEastAsia"/>
                <w:color w:val="auto"/>
                <w:kern w:val="0"/>
                <w:sz w:val="18"/>
                <w:szCs w:val="18"/>
                <w:highlight w:val="none"/>
                <w:lang w:eastAsia="zh-CN"/>
              </w:rPr>
              <w:t>以下的罚款</w:t>
            </w:r>
          </w:p>
        </w:tc>
        <w:tc>
          <w:tcPr>
            <w:tcW w:w="260" w:type="pct"/>
            <w:gridSpan w:val="3"/>
            <w:vMerge w:val="restart"/>
            <w:shd w:val="clear" w:color="auto" w:fill="auto"/>
            <w:vAlign w:val="center"/>
          </w:tcPr>
          <w:p w14:paraId="1B1FF810">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Style w:val="15"/>
                <w:rFonts w:hint="default" w:ascii="Times New Roman" w:hAnsi="Times New Roman" w:cs="Times New Roman" w:eastAsiaTheme="minorEastAsia"/>
                <w:color w:val="auto"/>
                <w:sz w:val="18"/>
                <w:szCs w:val="18"/>
                <w:highlight w:val="none"/>
              </w:rPr>
              <w:t>责令停止建设</w:t>
            </w:r>
            <w:r>
              <w:rPr>
                <w:rStyle w:val="15"/>
                <w:rFonts w:hint="default" w:ascii="Times New Roman" w:hAnsi="Times New Roman" w:cs="Times New Roman" w:eastAsiaTheme="minorEastAsia"/>
                <w:color w:val="auto"/>
                <w:sz w:val="18"/>
                <w:szCs w:val="18"/>
                <w:highlight w:val="none"/>
                <w:lang w:eastAsia="zh-CN"/>
              </w:rPr>
              <w:t>，</w:t>
            </w:r>
            <w:r>
              <w:rPr>
                <w:rStyle w:val="15"/>
                <w:rFonts w:hint="default" w:ascii="Times New Roman" w:hAnsi="Times New Roman" w:cs="Times New Roman" w:eastAsiaTheme="minorEastAsia"/>
                <w:color w:val="auto"/>
                <w:sz w:val="18"/>
                <w:szCs w:val="18"/>
                <w:highlight w:val="none"/>
              </w:rPr>
              <w:t>限期拆除</w:t>
            </w:r>
          </w:p>
        </w:tc>
        <w:tc>
          <w:tcPr>
            <w:tcW w:w="326" w:type="pct"/>
            <w:vMerge w:val="restart"/>
            <w:shd w:val="clear" w:color="auto" w:fill="auto"/>
            <w:vAlign w:val="center"/>
          </w:tcPr>
          <w:p w14:paraId="20F82D5C">
            <w:pPr>
              <w:shd w:val="clear"/>
              <w:rPr>
                <w:rFonts w:hint="default" w:ascii="Times New Roman" w:hAnsi="Times New Roman" w:cs="Times New Roman" w:eastAsiaTheme="minorEastAsia"/>
                <w:color w:val="auto"/>
                <w:sz w:val="18"/>
                <w:szCs w:val="18"/>
                <w:highlight w:val="none"/>
                <w:lang w:val="en-US" w:eastAsia="zh-CN"/>
              </w:rPr>
            </w:pPr>
          </w:p>
        </w:tc>
      </w:tr>
      <w:tr w14:paraId="11165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452" w:hRule="atLeast"/>
        </w:trPr>
        <w:tc>
          <w:tcPr>
            <w:tcW w:w="117" w:type="pct"/>
            <w:gridSpan w:val="2"/>
            <w:vMerge w:val="continue"/>
            <w:shd w:val="clear" w:color="auto" w:fill="auto"/>
            <w:vAlign w:val="center"/>
          </w:tcPr>
          <w:p w14:paraId="25BB2934">
            <w:pPr>
              <w:shd w:val="clear"/>
              <w:rPr>
                <w:rFonts w:hint="default" w:ascii="Times New Roman" w:hAnsi="Times New Roman" w:cs="Times New Roman"/>
                <w:color w:val="auto"/>
                <w:highlight w:val="none"/>
              </w:rPr>
            </w:pPr>
          </w:p>
        </w:tc>
        <w:tc>
          <w:tcPr>
            <w:tcW w:w="412" w:type="pct"/>
            <w:gridSpan w:val="2"/>
            <w:vMerge w:val="continue"/>
            <w:shd w:val="clear" w:color="auto" w:fill="auto"/>
            <w:vAlign w:val="center"/>
          </w:tcPr>
          <w:p w14:paraId="1490C9E6">
            <w:pPr>
              <w:shd w:val="clear"/>
              <w:rPr>
                <w:rFonts w:hint="default" w:ascii="Times New Roman" w:hAnsi="Times New Roman" w:cs="Times New Roman"/>
                <w:color w:val="auto"/>
                <w:highlight w:val="none"/>
              </w:rPr>
            </w:pPr>
          </w:p>
        </w:tc>
        <w:tc>
          <w:tcPr>
            <w:tcW w:w="1311" w:type="pct"/>
            <w:gridSpan w:val="2"/>
            <w:vMerge w:val="continue"/>
            <w:shd w:val="clear" w:color="auto" w:fill="auto"/>
            <w:vAlign w:val="center"/>
          </w:tcPr>
          <w:p w14:paraId="07806424">
            <w:pPr>
              <w:shd w:val="clear"/>
              <w:rPr>
                <w:rFonts w:hint="default" w:ascii="Times New Roman" w:hAnsi="Times New Roman" w:cs="Times New Roman"/>
                <w:color w:val="auto"/>
                <w:highlight w:val="none"/>
              </w:rPr>
            </w:pPr>
          </w:p>
        </w:tc>
        <w:tc>
          <w:tcPr>
            <w:tcW w:w="1315" w:type="pct"/>
            <w:gridSpan w:val="2"/>
            <w:vMerge w:val="continue"/>
            <w:shd w:val="clear" w:color="auto" w:fill="auto"/>
            <w:vAlign w:val="center"/>
          </w:tcPr>
          <w:p w14:paraId="15C86B8E">
            <w:pPr>
              <w:shd w:val="clear"/>
              <w:rPr>
                <w:rFonts w:hint="default" w:ascii="Times New Roman" w:hAnsi="Times New Roman" w:cs="Times New Roman"/>
                <w:color w:val="auto"/>
                <w:highlight w:val="none"/>
              </w:rPr>
            </w:pPr>
          </w:p>
        </w:tc>
        <w:tc>
          <w:tcPr>
            <w:tcW w:w="177" w:type="pct"/>
            <w:gridSpan w:val="2"/>
            <w:shd w:val="clear" w:color="auto" w:fill="auto"/>
            <w:vAlign w:val="center"/>
          </w:tcPr>
          <w:p w14:paraId="3C008C9E">
            <w:pPr>
              <w:shd w:val="clea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vAlign w:val="center"/>
          </w:tcPr>
          <w:p w14:paraId="2325BD70">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违法建筑面积1000平方米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3000平方米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vAlign w:val="center"/>
          </w:tcPr>
          <w:p w14:paraId="5E2508FD">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eastAsia="zh-CN"/>
              </w:rPr>
              <w:t>不能拆除的，没收实物或者违法收入，可以并处建设工程造价</w:t>
            </w:r>
            <w:r>
              <w:rPr>
                <w:rFonts w:hint="default" w:ascii="Times New Roman" w:hAnsi="Times New Roman" w:cs="Times New Roman" w:eastAsiaTheme="minorEastAsia"/>
                <w:color w:val="auto"/>
                <w:kern w:val="0"/>
                <w:sz w:val="18"/>
                <w:szCs w:val="18"/>
                <w:highlight w:val="none"/>
                <w:lang w:val="en-US" w:eastAsia="zh-CN"/>
              </w:rPr>
              <w:t>3%以上7%</w:t>
            </w:r>
            <w:r>
              <w:rPr>
                <w:rFonts w:hint="default" w:ascii="Times New Roman" w:hAnsi="Times New Roman" w:cs="Times New Roman" w:eastAsiaTheme="minorEastAsia"/>
                <w:color w:val="auto"/>
                <w:kern w:val="0"/>
                <w:sz w:val="18"/>
                <w:szCs w:val="18"/>
                <w:highlight w:val="none"/>
                <w:lang w:eastAsia="zh-CN"/>
              </w:rPr>
              <w:t>以下的罚款</w:t>
            </w:r>
          </w:p>
        </w:tc>
        <w:tc>
          <w:tcPr>
            <w:tcW w:w="260" w:type="pct"/>
            <w:gridSpan w:val="3"/>
            <w:vMerge w:val="continue"/>
            <w:shd w:val="clear" w:color="auto" w:fill="auto"/>
            <w:vAlign w:val="center"/>
          </w:tcPr>
          <w:p w14:paraId="00488454">
            <w:pPr>
              <w:shd w:val="clear"/>
              <w:rPr>
                <w:rFonts w:hint="default" w:ascii="Times New Roman" w:hAnsi="Times New Roman" w:cs="Times New Roman" w:eastAsiaTheme="minorEastAsia"/>
                <w:color w:val="auto"/>
                <w:kern w:val="0"/>
                <w:sz w:val="18"/>
                <w:szCs w:val="18"/>
                <w:highlight w:val="none"/>
              </w:rPr>
            </w:pPr>
          </w:p>
        </w:tc>
        <w:tc>
          <w:tcPr>
            <w:tcW w:w="326" w:type="pct"/>
            <w:vMerge w:val="continue"/>
            <w:shd w:val="clear" w:color="auto" w:fill="auto"/>
            <w:vAlign w:val="center"/>
          </w:tcPr>
          <w:p w14:paraId="49072CF2">
            <w:pPr>
              <w:shd w:val="clear"/>
              <w:rPr>
                <w:rFonts w:hint="default" w:ascii="Times New Roman" w:hAnsi="Times New Roman" w:cs="Times New Roman" w:eastAsiaTheme="minorEastAsia"/>
                <w:color w:val="auto"/>
                <w:kern w:val="0"/>
                <w:sz w:val="18"/>
                <w:szCs w:val="18"/>
                <w:highlight w:val="none"/>
              </w:rPr>
            </w:pPr>
          </w:p>
        </w:tc>
      </w:tr>
      <w:tr w14:paraId="549C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452" w:hRule="atLeast"/>
        </w:trPr>
        <w:tc>
          <w:tcPr>
            <w:tcW w:w="117" w:type="pct"/>
            <w:gridSpan w:val="2"/>
            <w:vMerge w:val="continue"/>
            <w:shd w:val="clear" w:color="auto" w:fill="auto"/>
            <w:vAlign w:val="center"/>
          </w:tcPr>
          <w:p w14:paraId="49163469">
            <w:pPr>
              <w:shd w:val="clear"/>
              <w:rPr>
                <w:rFonts w:hint="default" w:ascii="Times New Roman" w:hAnsi="Times New Roman" w:cs="Times New Roman" w:eastAsiaTheme="minorEastAsia"/>
                <w:color w:val="auto"/>
                <w:kern w:val="0"/>
                <w:sz w:val="18"/>
                <w:szCs w:val="18"/>
                <w:highlight w:val="none"/>
              </w:rPr>
            </w:pPr>
          </w:p>
        </w:tc>
        <w:tc>
          <w:tcPr>
            <w:tcW w:w="412" w:type="pct"/>
            <w:gridSpan w:val="2"/>
            <w:vMerge w:val="continue"/>
            <w:shd w:val="clear" w:color="auto" w:fill="auto"/>
            <w:vAlign w:val="center"/>
          </w:tcPr>
          <w:p w14:paraId="5B83885D">
            <w:pPr>
              <w:shd w:val="clear"/>
              <w:rPr>
                <w:rFonts w:hint="default" w:ascii="Times New Roman" w:hAnsi="Times New Roman" w:cs="Times New Roman" w:eastAsiaTheme="minorEastAsia"/>
                <w:color w:val="auto"/>
                <w:kern w:val="0"/>
                <w:sz w:val="18"/>
                <w:szCs w:val="18"/>
                <w:highlight w:val="none"/>
              </w:rPr>
            </w:pPr>
          </w:p>
        </w:tc>
        <w:tc>
          <w:tcPr>
            <w:tcW w:w="1311" w:type="pct"/>
            <w:gridSpan w:val="2"/>
            <w:vMerge w:val="continue"/>
            <w:shd w:val="clear" w:color="auto" w:fill="auto"/>
            <w:vAlign w:val="center"/>
          </w:tcPr>
          <w:p w14:paraId="47F0B853">
            <w:pPr>
              <w:shd w:val="clear"/>
              <w:rPr>
                <w:rFonts w:hint="default" w:ascii="Times New Roman" w:hAnsi="Times New Roman" w:cs="Times New Roman" w:eastAsiaTheme="minorEastAsia"/>
                <w:color w:val="auto"/>
                <w:kern w:val="0"/>
                <w:sz w:val="18"/>
                <w:szCs w:val="18"/>
                <w:highlight w:val="none"/>
              </w:rPr>
            </w:pPr>
          </w:p>
        </w:tc>
        <w:tc>
          <w:tcPr>
            <w:tcW w:w="1315" w:type="pct"/>
            <w:gridSpan w:val="2"/>
            <w:vMerge w:val="continue"/>
            <w:shd w:val="clear" w:color="auto" w:fill="auto"/>
            <w:vAlign w:val="center"/>
          </w:tcPr>
          <w:p w14:paraId="5032F3EF">
            <w:pPr>
              <w:shd w:val="clear"/>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vAlign w:val="center"/>
          </w:tcPr>
          <w:p w14:paraId="7B715BBF">
            <w:pPr>
              <w:shd w:val="clea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vAlign w:val="center"/>
          </w:tcPr>
          <w:p w14:paraId="18515BE7">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违法建筑面积3000平方米</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vAlign w:val="center"/>
          </w:tcPr>
          <w:p w14:paraId="6696420D">
            <w:pPr>
              <w:shd w:val="clea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eastAsia="zh-CN"/>
              </w:rPr>
              <w:t>不能拆除的，没收实物或者违法收入，可以并处建设工程造价</w:t>
            </w:r>
            <w:r>
              <w:rPr>
                <w:rFonts w:hint="default" w:ascii="Times New Roman" w:hAnsi="Times New Roman" w:cs="Times New Roman" w:eastAsiaTheme="minorEastAsia"/>
                <w:color w:val="auto"/>
                <w:kern w:val="0"/>
                <w:sz w:val="18"/>
                <w:szCs w:val="18"/>
                <w:highlight w:val="none"/>
                <w:lang w:val="en-US" w:eastAsia="zh-CN"/>
              </w:rPr>
              <w:t>7%以上10%</w:t>
            </w:r>
            <w:r>
              <w:rPr>
                <w:rFonts w:hint="default" w:ascii="Times New Roman" w:hAnsi="Times New Roman" w:cs="Times New Roman" w:eastAsiaTheme="minorEastAsia"/>
                <w:color w:val="auto"/>
                <w:kern w:val="0"/>
                <w:sz w:val="18"/>
                <w:szCs w:val="18"/>
                <w:highlight w:val="none"/>
                <w:lang w:eastAsia="zh-CN"/>
              </w:rPr>
              <w:t>以下的罚款</w:t>
            </w:r>
          </w:p>
        </w:tc>
        <w:tc>
          <w:tcPr>
            <w:tcW w:w="260" w:type="pct"/>
            <w:gridSpan w:val="3"/>
            <w:vMerge w:val="continue"/>
            <w:shd w:val="clear" w:color="auto" w:fill="auto"/>
            <w:vAlign w:val="center"/>
          </w:tcPr>
          <w:p w14:paraId="095C170D">
            <w:pPr>
              <w:shd w:val="clear"/>
              <w:rPr>
                <w:rFonts w:hint="default" w:ascii="Times New Roman" w:hAnsi="Times New Roman" w:cs="Times New Roman" w:eastAsiaTheme="minorEastAsia"/>
                <w:color w:val="auto"/>
                <w:kern w:val="0"/>
                <w:sz w:val="18"/>
                <w:szCs w:val="18"/>
                <w:highlight w:val="none"/>
              </w:rPr>
            </w:pPr>
          </w:p>
        </w:tc>
        <w:tc>
          <w:tcPr>
            <w:tcW w:w="326" w:type="pct"/>
            <w:vMerge w:val="continue"/>
            <w:shd w:val="clear" w:color="auto" w:fill="auto"/>
            <w:vAlign w:val="center"/>
          </w:tcPr>
          <w:p w14:paraId="7F5F5747">
            <w:pPr>
              <w:shd w:val="clear"/>
              <w:rPr>
                <w:rFonts w:hint="default" w:ascii="Times New Roman" w:hAnsi="Times New Roman" w:cs="Times New Roman" w:eastAsiaTheme="minorEastAsia"/>
                <w:color w:val="auto"/>
                <w:kern w:val="0"/>
                <w:sz w:val="18"/>
                <w:szCs w:val="18"/>
                <w:highlight w:val="none"/>
              </w:rPr>
            </w:pPr>
          </w:p>
        </w:tc>
      </w:tr>
      <w:tr w14:paraId="6485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516" w:hRule="atLeast"/>
        </w:trPr>
        <w:tc>
          <w:tcPr>
            <w:tcW w:w="117" w:type="pct"/>
            <w:gridSpan w:val="2"/>
            <w:vMerge w:val="restart"/>
            <w:shd w:val="clear" w:color="auto" w:fill="auto"/>
            <w:vAlign w:val="center"/>
          </w:tcPr>
          <w:p w14:paraId="48997837">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162</w:t>
            </w:r>
          </w:p>
        </w:tc>
        <w:tc>
          <w:tcPr>
            <w:tcW w:w="412" w:type="pct"/>
            <w:gridSpan w:val="2"/>
            <w:vMerge w:val="restart"/>
            <w:shd w:val="clear" w:color="auto" w:fill="auto"/>
            <w:vAlign w:val="center"/>
          </w:tcPr>
          <w:p w14:paraId="6507A7AC">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建设单位或者个人未经批准进行临时建设的</w:t>
            </w:r>
          </w:p>
        </w:tc>
        <w:tc>
          <w:tcPr>
            <w:tcW w:w="1311" w:type="pct"/>
            <w:gridSpan w:val="2"/>
            <w:vMerge w:val="restart"/>
            <w:shd w:val="clear" w:color="auto" w:fill="auto"/>
            <w:vAlign w:val="center"/>
          </w:tcPr>
          <w:p w14:paraId="4952AAA4">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《中华人民共和国城乡规划法》第四十四条</w:t>
            </w:r>
            <w:r>
              <w:rPr>
                <w:rFonts w:hint="default" w:ascii="Times New Roman" w:hAnsi="Times New Roman" w:cs="Times New Roman" w:eastAsiaTheme="minorEastAsia"/>
                <w:color w:val="auto"/>
                <w:kern w:val="0"/>
                <w:sz w:val="18"/>
                <w:szCs w:val="18"/>
                <w:highlight w:val="none"/>
                <w:lang w:eastAsia="zh-CN"/>
              </w:rPr>
              <w:t>第一款：“</w:t>
            </w:r>
            <w:r>
              <w:rPr>
                <w:rFonts w:hint="default" w:ascii="Times New Roman" w:hAnsi="Times New Roman" w:cs="Times New Roman" w:eastAsiaTheme="minorEastAsia"/>
                <w:color w:val="auto"/>
                <w:kern w:val="0"/>
                <w:sz w:val="18"/>
                <w:szCs w:val="18"/>
                <w:highlight w:val="none"/>
              </w:rPr>
              <w:t>在城市、镇规划区内进行临时建设的，应当经城市、县人民政府城乡规划主管部门批准。临时建设影响近期建设规划或者控制性详细规划的实施以及交通、市容、安全等的，不得批准。</w:t>
            </w:r>
            <w:r>
              <w:rPr>
                <w:rFonts w:hint="default" w:ascii="Times New Roman" w:hAnsi="Times New Roman" w:cs="Times New Roman" w:eastAsiaTheme="minorEastAsia"/>
                <w:color w:val="auto"/>
                <w:kern w:val="0"/>
                <w:sz w:val="18"/>
                <w:szCs w:val="18"/>
                <w:highlight w:val="none"/>
                <w:lang w:eastAsia="zh-CN"/>
              </w:rPr>
              <w:t>”</w:t>
            </w:r>
          </w:p>
        </w:tc>
        <w:tc>
          <w:tcPr>
            <w:tcW w:w="1315" w:type="pct"/>
            <w:gridSpan w:val="2"/>
            <w:vMerge w:val="restart"/>
            <w:shd w:val="clear" w:color="auto" w:fill="auto"/>
            <w:vAlign w:val="center"/>
          </w:tcPr>
          <w:p w14:paraId="4749F4FF">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《中华人民共和国城乡规划法》第六十六条</w:t>
            </w:r>
            <w:r>
              <w:rPr>
                <w:rFonts w:hint="default" w:ascii="Times New Roman" w:hAnsi="Times New Roman" w:cs="Times New Roman" w:eastAsiaTheme="minorEastAsia"/>
                <w:color w:val="auto"/>
                <w:kern w:val="0"/>
                <w:sz w:val="18"/>
                <w:szCs w:val="18"/>
                <w:highlight w:val="none"/>
                <w:lang w:eastAsia="zh-CN"/>
              </w:rPr>
              <w:t>第（一）项：“</w:t>
            </w:r>
            <w:r>
              <w:rPr>
                <w:rFonts w:hint="default" w:ascii="Times New Roman" w:hAnsi="Times New Roman" w:cs="Times New Roman" w:eastAsiaTheme="minorEastAsia"/>
                <w:color w:val="auto"/>
                <w:kern w:val="0"/>
                <w:sz w:val="18"/>
                <w:szCs w:val="18"/>
                <w:highlight w:val="none"/>
              </w:rPr>
              <w:t>建设单位或者个人有下列行为之一的，由所在地城市、县人民政府城乡规划主管部门责令限期拆除，可以并处临时建设工程造价一倍以下的罚款：（一）未经批准进行临时建设的；</w:t>
            </w:r>
            <w:r>
              <w:rPr>
                <w:rFonts w:hint="default" w:ascii="Times New Roman" w:hAnsi="Times New Roman" w:cs="Times New Roman" w:eastAsiaTheme="minorEastAsia"/>
                <w:color w:val="auto"/>
                <w:kern w:val="0"/>
                <w:sz w:val="18"/>
                <w:szCs w:val="18"/>
                <w:highlight w:val="none"/>
                <w:lang w:eastAsia="zh-CN"/>
              </w:rPr>
              <w:t>”</w:t>
            </w:r>
          </w:p>
        </w:tc>
        <w:tc>
          <w:tcPr>
            <w:tcW w:w="177" w:type="pct"/>
            <w:gridSpan w:val="2"/>
            <w:shd w:val="clear" w:color="auto" w:fill="auto"/>
            <w:vAlign w:val="center"/>
          </w:tcPr>
          <w:p w14:paraId="23112D96">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vAlign w:val="center"/>
          </w:tcPr>
          <w:p w14:paraId="2CD3DF76">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造成轻微危害后果</w:t>
            </w:r>
          </w:p>
        </w:tc>
        <w:tc>
          <w:tcPr>
            <w:tcW w:w="545" w:type="pct"/>
            <w:gridSpan w:val="2"/>
            <w:shd w:val="clear" w:color="auto" w:fill="auto"/>
            <w:vAlign w:val="center"/>
          </w:tcPr>
          <w:p w14:paraId="6EAA5E31">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可以处临时建设工程造价</w:t>
            </w:r>
            <w:r>
              <w:rPr>
                <w:rFonts w:hint="default" w:ascii="Times New Roman" w:hAnsi="Times New Roman" w:cs="Times New Roman" w:eastAsiaTheme="minorEastAsia"/>
                <w:color w:val="auto"/>
                <w:kern w:val="0"/>
                <w:sz w:val="18"/>
                <w:szCs w:val="18"/>
                <w:highlight w:val="none"/>
                <w:lang w:val="en-US" w:eastAsia="zh-CN"/>
              </w:rPr>
              <w:t>0.3</w:t>
            </w:r>
            <w:r>
              <w:rPr>
                <w:rFonts w:hint="default" w:ascii="Times New Roman" w:hAnsi="Times New Roman" w:cs="Times New Roman" w:eastAsiaTheme="minorEastAsia"/>
                <w:color w:val="auto"/>
                <w:kern w:val="0"/>
                <w:sz w:val="18"/>
                <w:szCs w:val="18"/>
                <w:highlight w:val="none"/>
              </w:rPr>
              <w:t>倍以下的罚款</w:t>
            </w:r>
          </w:p>
        </w:tc>
        <w:tc>
          <w:tcPr>
            <w:tcW w:w="260" w:type="pct"/>
            <w:gridSpan w:val="3"/>
            <w:vMerge w:val="restart"/>
            <w:shd w:val="clear" w:color="auto" w:fill="auto"/>
            <w:vAlign w:val="center"/>
          </w:tcPr>
          <w:p w14:paraId="4507FF86">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责令限期拆除</w:t>
            </w:r>
          </w:p>
        </w:tc>
        <w:tc>
          <w:tcPr>
            <w:tcW w:w="326" w:type="pct"/>
            <w:vMerge w:val="restart"/>
            <w:shd w:val="clear" w:color="auto" w:fill="auto"/>
            <w:vAlign w:val="center"/>
          </w:tcPr>
          <w:p w14:paraId="7D039E08">
            <w:pPr>
              <w:shd w:val="clear"/>
              <w:rPr>
                <w:rFonts w:hint="default" w:ascii="Times New Roman" w:hAnsi="Times New Roman" w:cs="Times New Roman" w:eastAsiaTheme="minorEastAsia"/>
                <w:color w:val="auto"/>
                <w:sz w:val="18"/>
                <w:szCs w:val="18"/>
                <w:highlight w:val="none"/>
                <w:lang w:val="en-US" w:eastAsia="zh-CN"/>
              </w:rPr>
            </w:pPr>
          </w:p>
        </w:tc>
      </w:tr>
      <w:tr w14:paraId="0BF89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516" w:hRule="atLeast"/>
        </w:trPr>
        <w:tc>
          <w:tcPr>
            <w:tcW w:w="117" w:type="pct"/>
            <w:gridSpan w:val="2"/>
            <w:vMerge w:val="continue"/>
            <w:shd w:val="clear" w:color="auto" w:fill="auto"/>
            <w:vAlign w:val="center"/>
          </w:tcPr>
          <w:p w14:paraId="06E9E130">
            <w:pPr>
              <w:widowControl/>
              <w:shd w:val="clear"/>
              <w:jc w:val="left"/>
              <w:textAlignment w:val="center"/>
              <w:rPr>
                <w:rFonts w:hint="default" w:ascii="Times New Roman" w:hAnsi="Times New Roman" w:cs="Times New Roman"/>
                <w:color w:val="auto"/>
                <w:highlight w:val="none"/>
              </w:rPr>
            </w:pPr>
          </w:p>
        </w:tc>
        <w:tc>
          <w:tcPr>
            <w:tcW w:w="412" w:type="pct"/>
            <w:gridSpan w:val="2"/>
            <w:vMerge w:val="continue"/>
            <w:shd w:val="clear" w:color="auto" w:fill="auto"/>
            <w:vAlign w:val="center"/>
          </w:tcPr>
          <w:p w14:paraId="6C9D2FDD">
            <w:pPr>
              <w:widowControl/>
              <w:shd w:val="clear"/>
              <w:jc w:val="left"/>
              <w:textAlignment w:val="center"/>
              <w:rPr>
                <w:rFonts w:hint="default" w:ascii="Times New Roman" w:hAnsi="Times New Roman" w:cs="Times New Roman"/>
                <w:color w:val="auto"/>
                <w:highlight w:val="none"/>
              </w:rPr>
            </w:pPr>
          </w:p>
        </w:tc>
        <w:tc>
          <w:tcPr>
            <w:tcW w:w="1311" w:type="pct"/>
            <w:gridSpan w:val="2"/>
            <w:vMerge w:val="continue"/>
            <w:shd w:val="clear" w:color="auto" w:fill="auto"/>
            <w:vAlign w:val="center"/>
          </w:tcPr>
          <w:p w14:paraId="0B5CB6FC">
            <w:pPr>
              <w:widowControl/>
              <w:shd w:val="clear"/>
              <w:jc w:val="left"/>
              <w:textAlignment w:val="center"/>
              <w:rPr>
                <w:rFonts w:hint="default" w:ascii="Times New Roman" w:hAnsi="Times New Roman" w:cs="Times New Roman"/>
                <w:color w:val="auto"/>
                <w:highlight w:val="none"/>
              </w:rPr>
            </w:pPr>
          </w:p>
        </w:tc>
        <w:tc>
          <w:tcPr>
            <w:tcW w:w="1315" w:type="pct"/>
            <w:gridSpan w:val="2"/>
            <w:vMerge w:val="continue"/>
            <w:shd w:val="clear" w:color="auto" w:fill="auto"/>
            <w:vAlign w:val="center"/>
          </w:tcPr>
          <w:p w14:paraId="5E898EFC">
            <w:pPr>
              <w:widowControl/>
              <w:shd w:val="clear"/>
              <w:jc w:val="left"/>
              <w:textAlignment w:val="center"/>
              <w:rPr>
                <w:rFonts w:hint="default" w:ascii="Times New Roman" w:hAnsi="Times New Roman" w:cs="Times New Roman"/>
                <w:color w:val="auto"/>
                <w:highlight w:val="none"/>
              </w:rPr>
            </w:pPr>
          </w:p>
        </w:tc>
        <w:tc>
          <w:tcPr>
            <w:tcW w:w="177" w:type="pct"/>
            <w:gridSpan w:val="2"/>
            <w:shd w:val="clear" w:color="auto" w:fill="auto"/>
            <w:vAlign w:val="center"/>
          </w:tcPr>
          <w:p w14:paraId="7B6D5235">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vAlign w:val="center"/>
          </w:tcPr>
          <w:p w14:paraId="2708E289">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造成一般危害后果</w:t>
            </w:r>
          </w:p>
        </w:tc>
        <w:tc>
          <w:tcPr>
            <w:tcW w:w="545" w:type="pct"/>
            <w:gridSpan w:val="2"/>
            <w:shd w:val="clear" w:color="auto" w:fill="auto"/>
            <w:vAlign w:val="center"/>
          </w:tcPr>
          <w:p w14:paraId="2E7D60B0">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eastAsia="zh-CN"/>
              </w:rPr>
              <w:t>可以</w:t>
            </w:r>
            <w:r>
              <w:rPr>
                <w:rFonts w:hint="default" w:ascii="Times New Roman" w:hAnsi="Times New Roman" w:cs="Times New Roman" w:eastAsiaTheme="minorEastAsia"/>
                <w:color w:val="auto"/>
                <w:kern w:val="0"/>
                <w:sz w:val="18"/>
                <w:szCs w:val="18"/>
                <w:highlight w:val="none"/>
              </w:rPr>
              <w:t>处临时建设工程造价</w:t>
            </w:r>
            <w:r>
              <w:rPr>
                <w:rFonts w:hint="default" w:ascii="Times New Roman" w:hAnsi="Times New Roman" w:cs="Times New Roman" w:eastAsiaTheme="minorEastAsia"/>
                <w:color w:val="auto"/>
                <w:kern w:val="0"/>
                <w:sz w:val="18"/>
                <w:szCs w:val="18"/>
                <w:highlight w:val="none"/>
                <w:lang w:val="en-US" w:eastAsia="zh-CN"/>
              </w:rPr>
              <w:t>0.3</w:t>
            </w:r>
            <w:r>
              <w:rPr>
                <w:rFonts w:hint="default" w:ascii="Times New Roman" w:hAnsi="Times New Roman" w:cs="Times New Roman" w:eastAsiaTheme="minorEastAsia"/>
                <w:color w:val="auto"/>
                <w:kern w:val="0"/>
                <w:sz w:val="18"/>
                <w:szCs w:val="18"/>
                <w:highlight w:val="none"/>
              </w:rPr>
              <w:t>倍以上</w:t>
            </w:r>
            <w:r>
              <w:rPr>
                <w:rFonts w:hint="default" w:ascii="Times New Roman" w:hAnsi="Times New Roman" w:cs="Times New Roman" w:eastAsiaTheme="minorEastAsia"/>
                <w:color w:val="auto"/>
                <w:kern w:val="0"/>
                <w:sz w:val="18"/>
                <w:szCs w:val="18"/>
                <w:highlight w:val="none"/>
                <w:lang w:val="en-US" w:eastAsia="zh-CN"/>
              </w:rPr>
              <w:t>0.7</w:t>
            </w:r>
            <w:r>
              <w:rPr>
                <w:rFonts w:hint="default" w:ascii="Times New Roman" w:hAnsi="Times New Roman" w:cs="Times New Roman" w:eastAsiaTheme="minorEastAsia"/>
                <w:color w:val="auto"/>
                <w:kern w:val="0"/>
                <w:sz w:val="18"/>
                <w:szCs w:val="18"/>
                <w:highlight w:val="none"/>
              </w:rPr>
              <w:t>倍以下的罚款</w:t>
            </w:r>
          </w:p>
        </w:tc>
        <w:tc>
          <w:tcPr>
            <w:tcW w:w="260" w:type="pct"/>
            <w:gridSpan w:val="3"/>
            <w:vMerge w:val="continue"/>
            <w:shd w:val="clear" w:color="auto" w:fill="auto"/>
            <w:vAlign w:val="center"/>
          </w:tcPr>
          <w:p w14:paraId="1400E5D5">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c>
          <w:tcPr>
            <w:tcW w:w="326" w:type="pct"/>
            <w:vMerge w:val="continue"/>
            <w:shd w:val="clear" w:color="auto" w:fill="auto"/>
            <w:vAlign w:val="center"/>
          </w:tcPr>
          <w:p w14:paraId="4B42C014">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r>
      <w:tr w14:paraId="6429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516" w:hRule="atLeast"/>
        </w:trPr>
        <w:tc>
          <w:tcPr>
            <w:tcW w:w="117" w:type="pct"/>
            <w:gridSpan w:val="2"/>
            <w:vMerge w:val="continue"/>
            <w:shd w:val="clear" w:color="auto" w:fill="auto"/>
            <w:vAlign w:val="center"/>
          </w:tcPr>
          <w:p w14:paraId="170FDAFB">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c>
          <w:tcPr>
            <w:tcW w:w="412" w:type="pct"/>
            <w:gridSpan w:val="2"/>
            <w:vMerge w:val="continue"/>
            <w:shd w:val="clear" w:color="auto" w:fill="auto"/>
            <w:vAlign w:val="center"/>
          </w:tcPr>
          <w:p w14:paraId="633F11F7">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c>
          <w:tcPr>
            <w:tcW w:w="1311" w:type="pct"/>
            <w:gridSpan w:val="2"/>
            <w:vMerge w:val="continue"/>
            <w:shd w:val="clear" w:color="auto" w:fill="auto"/>
            <w:vAlign w:val="center"/>
          </w:tcPr>
          <w:p w14:paraId="70CC08FE">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c>
          <w:tcPr>
            <w:tcW w:w="1315" w:type="pct"/>
            <w:gridSpan w:val="2"/>
            <w:vMerge w:val="continue"/>
            <w:shd w:val="clear" w:color="auto" w:fill="auto"/>
            <w:vAlign w:val="center"/>
          </w:tcPr>
          <w:p w14:paraId="645905A0">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vAlign w:val="center"/>
          </w:tcPr>
          <w:p w14:paraId="2DC4B950">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vAlign w:val="center"/>
          </w:tcPr>
          <w:p w14:paraId="7F7930DC">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造成严重危害后果</w:t>
            </w:r>
          </w:p>
        </w:tc>
        <w:tc>
          <w:tcPr>
            <w:tcW w:w="545" w:type="pct"/>
            <w:gridSpan w:val="2"/>
            <w:shd w:val="clear" w:color="auto" w:fill="auto"/>
            <w:vAlign w:val="center"/>
          </w:tcPr>
          <w:p w14:paraId="1BCA9664">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eastAsia="zh-CN"/>
              </w:rPr>
              <w:t>可以</w:t>
            </w:r>
            <w:r>
              <w:rPr>
                <w:rFonts w:hint="default" w:ascii="Times New Roman" w:hAnsi="Times New Roman" w:cs="Times New Roman" w:eastAsiaTheme="minorEastAsia"/>
                <w:color w:val="auto"/>
                <w:kern w:val="0"/>
                <w:sz w:val="18"/>
                <w:szCs w:val="18"/>
                <w:highlight w:val="none"/>
              </w:rPr>
              <w:t>处临时建设工程造价</w:t>
            </w:r>
            <w:r>
              <w:rPr>
                <w:rFonts w:hint="default" w:ascii="Times New Roman" w:hAnsi="Times New Roman" w:cs="Times New Roman" w:eastAsiaTheme="minorEastAsia"/>
                <w:color w:val="auto"/>
                <w:kern w:val="0"/>
                <w:sz w:val="18"/>
                <w:szCs w:val="18"/>
                <w:highlight w:val="none"/>
                <w:lang w:val="en-US" w:eastAsia="zh-CN"/>
              </w:rPr>
              <w:t>0.7</w:t>
            </w:r>
            <w:r>
              <w:rPr>
                <w:rFonts w:hint="default" w:ascii="Times New Roman" w:hAnsi="Times New Roman" w:cs="Times New Roman" w:eastAsiaTheme="minorEastAsia"/>
                <w:color w:val="auto"/>
                <w:kern w:val="0"/>
                <w:sz w:val="18"/>
                <w:szCs w:val="18"/>
                <w:highlight w:val="none"/>
              </w:rPr>
              <w:t>倍</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的罚款</w:t>
            </w:r>
          </w:p>
        </w:tc>
        <w:tc>
          <w:tcPr>
            <w:tcW w:w="260" w:type="pct"/>
            <w:gridSpan w:val="3"/>
            <w:vMerge w:val="continue"/>
            <w:shd w:val="clear" w:color="auto" w:fill="auto"/>
            <w:vAlign w:val="center"/>
          </w:tcPr>
          <w:p w14:paraId="2315842D">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c>
          <w:tcPr>
            <w:tcW w:w="326" w:type="pct"/>
            <w:vMerge w:val="continue"/>
            <w:shd w:val="clear" w:color="auto" w:fill="auto"/>
            <w:vAlign w:val="center"/>
          </w:tcPr>
          <w:p w14:paraId="24B8DBAA">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r>
      <w:tr w14:paraId="6E48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14" w:hRule="atLeast"/>
        </w:trPr>
        <w:tc>
          <w:tcPr>
            <w:tcW w:w="117" w:type="pct"/>
            <w:gridSpan w:val="2"/>
            <w:vMerge w:val="restart"/>
            <w:shd w:val="clear" w:color="auto" w:fill="auto"/>
            <w:vAlign w:val="center"/>
          </w:tcPr>
          <w:p w14:paraId="2B49993E">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163</w:t>
            </w:r>
          </w:p>
        </w:tc>
        <w:tc>
          <w:tcPr>
            <w:tcW w:w="412" w:type="pct"/>
            <w:gridSpan w:val="2"/>
            <w:vMerge w:val="restart"/>
            <w:shd w:val="clear" w:color="auto" w:fill="auto"/>
            <w:vAlign w:val="center"/>
          </w:tcPr>
          <w:p w14:paraId="3FFFC259">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建设单位或者个人未按照批准内容进行临时建设的</w:t>
            </w:r>
          </w:p>
        </w:tc>
        <w:tc>
          <w:tcPr>
            <w:tcW w:w="1311" w:type="pct"/>
            <w:gridSpan w:val="2"/>
            <w:vMerge w:val="restart"/>
            <w:shd w:val="clear" w:color="auto" w:fill="auto"/>
            <w:vAlign w:val="center"/>
          </w:tcPr>
          <w:p w14:paraId="5290003B">
            <w:pPr>
              <w:widowControl/>
              <w:shd w:val="clear"/>
              <w:ind w:firstLine="0" w:firstLineChars="0"/>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《中华人民共和国城乡规划法》</w:t>
            </w:r>
            <w:r>
              <w:rPr>
                <w:rFonts w:hint="default" w:ascii="Times New Roman" w:hAnsi="Times New Roman" w:cs="Times New Roman" w:eastAsiaTheme="minorEastAsia"/>
                <w:color w:val="auto"/>
                <w:kern w:val="0"/>
                <w:sz w:val="18"/>
                <w:szCs w:val="18"/>
                <w:highlight w:val="none"/>
                <w:lang w:eastAsia="zh-CN"/>
              </w:rPr>
              <w:t>第四十三条第一款：“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w:t>
            </w:r>
            <w:r>
              <w:rPr>
                <w:rFonts w:hint="default" w:ascii="Times New Roman" w:hAnsi="Times New Roman" w:cs="Times New Roman" w:eastAsiaTheme="minorEastAsia"/>
                <w:color w:val="auto"/>
                <w:kern w:val="0"/>
                <w:sz w:val="18"/>
                <w:szCs w:val="18"/>
                <w:highlight w:val="none"/>
              </w:rPr>
              <w:t>第四十四条</w:t>
            </w:r>
            <w:r>
              <w:rPr>
                <w:rFonts w:hint="default" w:ascii="Times New Roman" w:hAnsi="Times New Roman" w:cs="Times New Roman" w:eastAsiaTheme="minorEastAsia"/>
                <w:color w:val="auto"/>
                <w:kern w:val="0"/>
                <w:sz w:val="18"/>
                <w:szCs w:val="18"/>
                <w:highlight w:val="none"/>
                <w:lang w:eastAsia="zh-CN"/>
              </w:rPr>
              <w:t>第一款：“</w:t>
            </w:r>
            <w:r>
              <w:rPr>
                <w:rFonts w:hint="default" w:ascii="Times New Roman" w:hAnsi="Times New Roman" w:cs="Times New Roman" w:eastAsiaTheme="minorEastAsia"/>
                <w:color w:val="auto"/>
                <w:kern w:val="0"/>
                <w:sz w:val="18"/>
                <w:szCs w:val="18"/>
                <w:highlight w:val="none"/>
              </w:rPr>
              <w:t>在城市、镇规划区内进行临时建设的，应当经城市、县人民政府城乡规划主管部门批准。临时建设影响近期建设规划或者控制性详细规划的实施以及交通、市容、安全等的，不得批准。</w:t>
            </w:r>
            <w:r>
              <w:rPr>
                <w:rFonts w:hint="default" w:ascii="Times New Roman" w:hAnsi="Times New Roman" w:cs="Times New Roman" w:eastAsiaTheme="minorEastAsia"/>
                <w:color w:val="auto"/>
                <w:kern w:val="0"/>
                <w:sz w:val="18"/>
                <w:szCs w:val="18"/>
                <w:highlight w:val="none"/>
                <w:lang w:eastAsia="zh-CN"/>
              </w:rPr>
              <w:t>”</w:t>
            </w:r>
          </w:p>
        </w:tc>
        <w:tc>
          <w:tcPr>
            <w:tcW w:w="1315" w:type="pct"/>
            <w:gridSpan w:val="2"/>
            <w:vMerge w:val="restart"/>
            <w:shd w:val="clear" w:color="auto" w:fill="auto"/>
            <w:vAlign w:val="center"/>
          </w:tcPr>
          <w:p w14:paraId="12AEB2C2">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《中华人民共和国城乡规划法》</w:t>
            </w:r>
            <w:r>
              <w:rPr>
                <w:rFonts w:hint="default" w:ascii="Times New Roman" w:hAnsi="Times New Roman" w:cs="Times New Roman" w:eastAsiaTheme="minorEastAsia"/>
                <w:color w:val="auto"/>
                <w:kern w:val="0"/>
                <w:sz w:val="18"/>
                <w:szCs w:val="18"/>
                <w:highlight w:val="none"/>
                <w:lang w:eastAsia="zh-CN"/>
              </w:rPr>
              <w:t>第六十六条第（二）项：“</w:t>
            </w:r>
            <w:r>
              <w:rPr>
                <w:rFonts w:hint="default" w:ascii="Times New Roman" w:hAnsi="Times New Roman" w:cs="Times New Roman" w:eastAsiaTheme="minorEastAsia"/>
                <w:color w:val="auto"/>
                <w:kern w:val="0"/>
                <w:sz w:val="18"/>
                <w:szCs w:val="18"/>
                <w:highlight w:val="none"/>
              </w:rPr>
              <w:t>建设单位或者个人有下列行为之一的，由所在地城市、县人民政府城乡规划主管部门责令限期拆除，可以并处临时建设工程造价一倍以下的罚款：（二）未按照批准内容进行临时建设的；</w:t>
            </w:r>
            <w:r>
              <w:rPr>
                <w:rFonts w:hint="default" w:ascii="Times New Roman" w:hAnsi="Times New Roman" w:cs="Times New Roman" w:eastAsiaTheme="minorEastAsia"/>
                <w:color w:val="auto"/>
                <w:kern w:val="0"/>
                <w:sz w:val="18"/>
                <w:szCs w:val="18"/>
                <w:highlight w:val="none"/>
                <w:lang w:eastAsia="zh-CN"/>
              </w:rPr>
              <w:t>”</w:t>
            </w:r>
          </w:p>
        </w:tc>
        <w:tc>
          <w:tcPr>
            <w:tcW w:w="177" w:type="pct"/>
            <w:gridSpan w:val="2"/>
            <w:shd w:val="clear" w:color="auto" w:fill="auto"/>
            <w:vAlign w:val="center"/>
          </w:tcPr>
          <w:p w14:paraId="09FFED22">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vAlign w:val="center"/>
          </w:tcPr>
          <w:p w14:paraId="4D463016">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造成轻微危害后果</w:t>
            </w:r>
          </w:p>
        </w:tc>
        <w:tc>
          <w:tcPr>
            <w:tcW w:w="545" w:type="pct"/>
            <w:gridSpan w:val="2"/>
            <w:shd w:val="clear" w:color="auto" w:fill="auto"/>
            <w:vAlign w:val="center"/>
          </w:tcPr>
          <w:p w14:paraId="04227650">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可以处临时建设工程造价</w:t>
            </w:r>
            <w:r>
              <w:rPr>
                <w:rFonts w:hint="default" w:ascii="Times New Roman" w:hAnsi="Times New Roman" w:cs="Times New Roman" w:eastAsiaTheme="minorEastAsia"/>
                <w:color w:val="auto"/>
                <w:kern w:val="0"/>
                <w:sz w:val="18"/>
                <w:szCs w:val="18"/>
                <w:highlight w:val="none"/>
                <w:lang w:val="en-US" w:eastAsia="zh-CN"/>
              </w:rPr>
              <w:t>0.3</w:t>
            </w:r>
            <w:r>
              <w:rPr>
                <w:rFonts w:hint="default" w:ascii="Times New Roman" w:hAnsi="Times New Roman" w:cs="Times New Roman" w:eastAsiaTheme="minorEastAsia"/>
                <w:color w:val="auto"/>
                <w:kern w:val="0"/>
                <w:sz w:val="18"/>
                <w:szCs w:val="18"/>
                <w:highlight w:val="none"/>
              </w:rPr>
              <w:t>倍以下的罚款</w:t>
            </w:r>
          </w:p>
        </w:tc>
        <w:tc>
          <w:tcPr>
            <w:tcW w:w="260" w:type="pct"/>
            <w:gridSpan w:val="3"/>
            <w:vMerge w:val="restart"/>
            <w:shd w:val="clear" w:color="auto" w:fill="auto"/>
            <w:vAlign w:val="center"/>
          </w:tcPr>
          <w:p w14:paraId="59F2D1AE">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责令限期拆除</w:t>
            </w:r>
          </w:p>
        </w:tc>
        <w:tc>
          <w:tcPr>
            <w:tcW w:w="326" w:type="pct"/>
            <w:vMerge w:val="restart"/>
            <w:shd w:val="clear" w:color="auto" w:fill="auto"/>
            <w:vAlign w:val="center"/>
          </w:tcPr>
          <w:p w14:paraId="3762CB5A">
            <w:pPr>
              <w:shd w:val="clear"/>
              <w:rPr>
                <w:rFonts w:hint="default" w:ascii="Times New Roman" w:hAnsi="Times New Roman" w:cs="Times New Roman" w:eastAsiaTheme="minorEastAsia"/>
                <w:color w:val="auto"/>
                <w:sz w:val="18"/>
                <w:szCs w:val="18"/>
                <w:highlight w:val="none"/>
                <w:lang w:val="en-US"/>
              </w:rPr>
            </w:pPr>
          </w:p>
        </w:tc>
      </w:tr>
      <w:tr w14:paraId="310D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069" w:hRule="atLeast"/>
        </w:trPr>
        <w:tc>
          <w:tcPr>
            <w:tcW w:w="117" w:type="pct"/>
            <w:gridSpan w:val="2"/>
            <w:vMerge w:val="continue"/>
            <w:shd w:val="clear" w:color="auto" w:fill="auto"/>
            <w:vAlign w:val="center"/>
          </w:tcPr>
          <w:p w14:paraId="198241D8">
            <w:pPr>
              <w:widowControl/>
              <w:shd w:val="clear"/>
              <w:jc w:val="left"/>
              <w:textAlignment w:val="center"/>
              <w:rPr>
                <w:rFonts w:hint="default" w:ascii="Times New Roman" w:hAnsi="Times New Roman" w:cs="Times New Roman"/>
                <w:color w:val="auto"/>
                <w:highlight w:val="none"/>
              </w:rPr>
            </w:pPr>
          </w:p>
        </w:tc>
        <w:tc>
          <w:tcPr>
            <w:tcW w:w="412" w:type="pct"/>
            <w:gridSpan w:val="2"/>
            <w:vMerge w:val="continue"/>
            <w:shd w:val="clear" w:color="auto" w:fill="auto"/>
            <w:vAlign w:val="center"/>
          </w:tcPr>
          <w:p w14:paraId="09DB53A8">
            <w:pPr>
              <w:widowControl/>
              <w:shd w:val="clear"/>
              <w:jc w:val="left"/>
              <w:textAlignment w:val="center"/>
              <w:rPr>
                <w:rFonts w:hint="default" w:ascii="Times New Roman" w:hAnsi="Times New Roman" w:cs="Times New Roman"/>
                <w:color w:val="auto"/>
                <w:highlight w:val="none"/>
              </w:rPr>
            </w:pPr>
          </w:p>
        </w:tc>
        <w:tc>
          <w:tcPr>
            <w:tcW w:w="1311" w:type="pct"/>
            <w:gridSpan w:val="2"/>
            <w:vMerge w:val="continue"/>
            <w:shd w:val="clear" w:color="auto" w:fill="auto"/>
            <w:vAlign w:val="center"/>
          </w:tcPr>
          <w:p w14:paraId="0359D4A5">
            <w:pPr>
              <w:widowControl/>
              <w:shd w:val="clear"/>
              <w:jc w:val="left"/>
              <w:textAlignment w:val="center"/>
              <w:rPr>
                <w:rFonts w:hint="default" w:ascii="Times New Roman" w:hAnsi="Times New Roman" w:cs="Times New Roman"/>
                <w:color w:val="auto"/>
                <w:highlight w:val="none"/>
              </w:rPr>
            </w:pPr>
          </w:p>
        </w:tc>
        <w:tc>
          <w:tcPr>
            <w:tcW w:w="1315" w:type="pct"/>
            <w:gridSpan w:val="2"/>
            <w:vMerge w:val="continue"/>
            <w:shd w:val="clear" w:color="auto" w:fill="auto"/>
            <w:vAlign w:val="center"/>
          </w:tcPr>
          <w:p w14:paraId="20FE3050">
            <w:pPr>
              <w:widowControl/>
              <w:shd w:val="clear"/>
              <w:jc w:val="left"/>
              <w:textAlignment w:val="center"/>
              <w:rPr>
                <w:rFonts w:hint="default" w:ascii="Times New Roman" w:hAnsi="Times New Roman" w:cs="Times New Roman"/>
                <w:color w:val="auto"/>
                <w:highlight w:val="none"/>
              </w:rPr>
            </w:pPr>
          </w:p>
        </w:tc>
        <w:tc>
          <w:tcPr>
            <w:tcW w:w="177" w:type="pct"/>
            <w:gridSpan w:val="2"/>
            <w:shd w:val="clear" w:color="auto" w:fill="auto"/>
            <w:vAlign w:val="center"/>
          </w:tcPr>
          <w:p w14:paraId="50D19EA4">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vAlign w:val="center"/>
          </w:tcPr>
          <w:p w14:paraId="6E1B7339">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造成一般危害后果</w:t>
            </w:r>
          </w:p>
        </w:tc>
        <w:tc>
          <w:tcPr>
            <w:tcW w:w="545" w:type="pct"/>
            <w:gridSpan w:val="2"/>
            <w:shd w:val="clear" w:color="auto" w:fill="auto"/>
            <w:vAlign w:val="center"/>
          </w:tcPr>
          <w:p w14:paraId="1E288B6A">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eastAsia="zh-CN"/>
              </w:rPr>
              <w:t>可以</w:t>
            </w:r>
            <w:r>
              <w:rPr>
                <w:rFonts w:hint="default" w:ascii="Times New Roman" w:hAnsi="Times New Roman" w:cs="Times New Roman" w:eastAsiaTheme="minorEastAsia"/>
                <w:color w:val="auto"/>
                <w:kern w:val="0"/>
                <w:sz w:val="18"/>
                <w:szCs w:val="18"/>
                <w:highlight w:val="none"/>
              </w:rPr>
              <w:t>处临时建设工程造价</w:t>
            </w:r>
            <w:r>
              <w:rPr>
                <w:rFonts w:hint="default" w:ascii="Times New Roman" w:hAnsi="Times New Roman" w:cs="Times New Roman" w:eastAsiaTheme="minorEastAsia"/>
                <w:color w:val="auto"/>
                <w:kern w:val="0"/>
                <w:sz w:val="18"/>
                <w:szCs w:val="18"/>
                <w:highlight w:val="none"/>
                <w:lang w:val="en-US" w:eastAsia="zh-CN"/>
              </w:rPr>
              <w:t>0.3</w:t>
            </w:r>
            <w:r>
              <w:rPr>
                <w:rFonts w:hint="default" w:ascii="Times New Roman" w:hAnsi="Times New Roman" w:cs="Times New Roman" w:eastAsiaTheme="minorEastAsia"/>
                <w:color w:val="auto"/>
                <w:kern w:val="0"/>
                <w:sz w:val="18"/>
                <w:szCs w:val="18"/>
                <w:highlight w:val="none"/>
              </w:rPr>
              <w:t>倍以上</w:t>
            </w:r>
            <w:r>
              <w:rPr>
                <w:rFonts w:hint="default" w:ascii="Times New Roman" w:hAnsi="Times New Roman" w:cs="Times New Roman" w:eastAsiaTheme="minorEastAsia"/>
                <w:color w:val="auto"/>
                <w:kern w:val="0"/>
                <w:sz w:val="18"/>
                <w:szCs w:val="18"/>
                <w:highlight w:val="none"/>
                <w:lang w:val="en-US" w:eastAsia="zh-CN"/>
              </w:rPr>
              <w:t>0.7</w:t>
            </w:r>
            <w:r>
              <w:rPr>
                <w:rFonts w:hint="default" w:ascii="Times New Roman" w:hAnsi="Times New Roman" w:cs="Times New Roman" w:eastAsiaTheme="minorEastAsia"/>
                <w:color w:val="auto"/>
                <w:kern w:val="0"/>
                <w:sz w:val="18"/>
                <w:szCs w:val="18"/>
                <w:highlight w:val="none"/>
              </w:rPr>
              <w:t>倍以下的罚款</w:t>
            </w:r>
          </w:p>
        </w:tc>
        <w:tc>
          <w:tcPr>
            <w:tcW w:w="260" w:type="pct"/>
            <w:gridSpan w:val="3"/>
            <w:vMerge w:val="continue"/>
            <w:shd w:val="clear" w:color="auto" w:fill="auto"/>
            <w:vAlign w:val="center"/>
          </w:tcPr>
          <w:p w14:paraId="04C2A4E9">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c>
          <w:tcPr>
            <w:tcW w:w="326" w:type="pct"/>
            <w:vMerge w:val="continue"/>
            <w:shd w:val="clear" w:color="auto" w:fill="auto"/>
            <w:vAlign w:val="center"/>
          </w:tcPr>
          <w:p w14:paraId="7A765EEC">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r>
      <w:tr w14:paraId="3EC7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336" w:hRule="atLeast"/>
        </w:trPr>
        <w:tc>
          <w:tcPr>
            <w:tcW w:w="117" w:type="pct"/>
            <w:gridSpan w:val="2"/>
            <w:vMerge w:val="continue"/>
            <w:shd w:val="clear" w:color="auto" w:fill="auto"/>
            <w:vAlign w:val="center"/>
          </w:tcPr>
          <w:p w14:paraId="2AC02FF6">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c>
          <w:tcPr>
            <w:tcW w:w="412" w:type="pct"/>
            <w:gridSpan w:val="2"/>
            <w:vMerge w:val="continue"/>
            <w:shd w:val="clear" w:color="auto" w:fill="auto"/>
            <w:vAlign w:val="center"/>
          </w:tcPr>
          <w:p w14:paraId="5FE23718">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c>
          <w:tcPr>
            <w:tcW w:w="1311" w:type="pct"/>
            <w:gridSpan w:val="2"/>
            <w:vMerge w:val="continue"/>
            <w:shd w:val="clear" w:color="auto" w:fill="auto"/>
            <w:vAlign w:val="center"/>
          </w:tcPr>
          <w:p w14:paraId="4D612D62">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c>
          <w:tcPr>
            <w:tcW w:w="1315" w:type="pct"/>
            <w:gridSpan w:val="2"/>
            <w:vMerge w:val="continue"/>
            <w:shd w:val="clear" w:color="auto" w:fill="auto"/>
            <w:vAlign w:val="center"/>
          </w:tcPr>
          <w:p w14:paraId="7D62DF0F">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vAlign w:val="center"/>
          </w:tcPr>
          <w:p w14:paraId="0BA0A1E9">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vAlign w:val="center"/>
          </w:tcPr>
          <w:p w14:paraId="3DF69A30">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造成严重危害后果</w:t>
            </w:r>
          </w:p>
        </w:tc>
        <w:tc>
          <w:tcPr>
            <w:tcW w:w="545" w:type="pct"/>
            <w:gridSpan w:val="2"/>
            <w:shd w:val="clear" w:color="auto" w:fill="auto"/>
            <w:vAlign w:val="center"/>
          </w:tcPr>
          <w:p w14:paraId="2571BFDC">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eastAsia="zh-CN"/>
              </w:rPr>
              <w:t>可以</w:t>
            </w:r>
            <w:r>
              <w:rPr>
                <w:rFonts w:hint="default" w:ascii="Times New Roman" w:hAnsi="Times New Roman" w:cs="Times New Roman" w:eastAsiaTheme="minorEastAsia"/>
                <w:color w:val="auto"/>
                <w:kern w:val="0"/>
                <w:sz w:val="18"/>
                <w:szCs w:val="18"/>
                <w:highlight w:val="none"/>
              </w:rPr>
              <w:t>处临时建设工程造价</w:t>
            </w:r>
            <w:r>
              <w:rPr>
                <w:rFonts w:hint="default" w:ascii="Times New Roman" w:hAnsi="Times New Roman" w:cs="Times New Roman" w:eastAsiaTheme="minorEastAsia"/>
                <w:color w:val="auto"/>
                <w:kern w:val="0"/>
                <w:sz w:val="18"/>
                <w:szCs w:val="18"/>
                <w:highlight w:val="none"/>
                <w:lang w:val="en-US" w:eastAsia="zh-CN"/>
              </w:rPr>
              <w:t>0.7</w:t>
            </w:r>
            <w:r>
              <w:rPr>
                <w:rFonts w:hint="default" w:ascii="Times New Roman" w:hAnsi="Times New Roman" w:cs="Times New Roman" w:eastAsiaTheme="minorEastAsia"/>
                <w:color w:val="auto"/>
                <w:kern w:val="0"/>
                <w:sz w:val="18"/>
                <w:szCs w:val="18"/>
                <w:highlight w:val="none"/>
              </w:rPr>
              <w:t>倍</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的罚款</w:t>
            </w:r>
          </w:p>
        </w:tc>
        <w:tc>
          <w:tcPr>
            <w:tcW w:w="260" w:type="pct"/>
            <w:gridSpan w:val="3"/>
            <w:vMerge w:val="continue"/>
            <w:shd w:val="clear" w:color="auto" w:fill="auto"/>
            <w:vAlign w:val="center"/>
          </w:tcPr>
          <w:p w14:paraId="0A47264C">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c>
          <w:tcPr>
            <w:tcW w:w="326" w:type="pct"/>
            <w:vMerge w:val="continue"/>
            <w:shd w:val="clear" w:color="auto" w:fill="auto"/>
            <w:vAlign w:val="center"/>
          </w:tcPr>
          <w:p w14:paraId="75A25A37">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r>
      <w:tr w14:paraId="1D74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516" w:hRule="atLeast"/>
        </w:trPr>
        <w:tc>
          <w:tcPr>
            <w:tcW w:w="117" w:type="pct"/>
            <w:gridSpan w:val="2"/>
            <w:vMerge w:val="restart"/>
            <w:shd w:val="clear" w:color="auto" w:fill="auto"/>
            <w:vAlign w:val="center"/>
          </w:tcPr>
          <w:p w14:paraId="47D51463">
            <w:pPr>
              <w:widowControl/>
              <w:shd w:val="clear"/>
              <w:jc w:val="center"/>
              <w:textAlignment w:val="center"/>
              <w:rPr>
                <w:rFonts w:hint="default" w:ascii="Times New Roman" w:hAnsi="Times New Roman" w:cs="Times New Roman" w:eastAsiaTheme="minorEastAsia"/>
                <w:color w:val="auto"/>
                <w:kern w:val="0"/>
                <w:sz w:val="18"/>
                <w:szCs w:val="18"/>
                <w:highlight w:val="none"/>
                <w:lang w:val="en-US" w:eastAsia="zh-CN"/>
              </w:rPr>
            </w:pPr>
            <w:r>
              <w:rPr>
                <w:rFonts w:hint="default" w:ascii="Times New Roman" w:hAnsi="Times New Roman" w:cs="Times New Roman" w:eastAsiaTheme="minorEastAsia"/>
                <w:color w:val="auto"/>
                <w:kern w:val="0"/>
                <w:sz w:val="18"/>
                <w:szCs w:val="18"/>
                <w:highlight w:val="none"/>
                <w:lang w:val="en-US" w:eastAsia="zh-CN"/>
              </w:rPr>
              <w:t>164</w:t>
            </w:r>
          </w:p>
        </w:tc>
        <w:tc>
          <w:tcPr>
            <w:tcW w:w="412" w:type="pct"/>
            <w:gridSpan w:val="2"/>
            <w:vMerge w:val="restart"/>
            <w:shd w:val="clear" w:color="auto" w:fill="auto"/>
            <w:vAlign w:val="center"/>
          </w:tcPr>
          <w:p w14:paraId="7395A4EF">
            <w:pPr>
              <w:widowControl/>
              <w:shd w:val="clear"/>
              <w:jc w:val="center"/>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临时建筑物、构筑物超过批准期限不拆除的</w:t>
            </w:r>
          </w:p>
        </w:tc>
        <w:tc>
          <w:tcPr>
            <w:tcW w:w="1311" w:type="pct"/>
            <w:gridSpan w:val="2"/>
            <w:vMerge w:val="restart"/>
            <w:shd w:val="clear" w:color="auto" w:fill="auto"/>
            <w:vAlign w:val="center"/>
          </w:tcPr>
          <w:p w14:paraId="089D0D6B">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rPr>
              <w:t>《中华人民共和国城乡规划法》第四十四条第二款：</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临时建设应当在批准的使用期限内自行拆除。</w:t>
            </w:r>
            <w:r>
              <w:rPr>
                <w:rFonts w:hint="default" w:ascii="Times New Roman" w:hAnsi="Times New Roman" w:cs="Times New Roman" w:eastAsiaTheme="minorEastAsia"/>
                <w:color w:val="auto"/>
                <w:kern w:val="0"/>
                <w:sz w:val="18"/>
                <w:szCs w:val="18"/>
                <w:highlight w:val="none"/>
                <w:lang w:eastAsia="zh-CN"/>
              </w:rPr>
              <w:t>”</w:t>
            </w:r>
          </w:p>
        </w:tc>
        <w:tc>
          <w:tcPr>
            <w:tcW w:w="1315" w:type="pct"/>
            <w:gridSpan w:val="2"/>
            <w:vMerge w:val="restart"/>
            <w:shd w:val="clear" w:color="auto" w:fill="auto"/>
            <w:vAlign w:val="center"/>
          </w:tcPr>
          <w:p w14:paraId="40FC74F1">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color w:val="auto"/>
                <w:kern w:val="0"/>
                <w:sz w:val="18"/>
                <w:szCs w:val="18"/>
                <w:highlight w:val="none"/>
              </w:rPr>
              <w:t>中华人民共和国城乡规划法》第六十六条</w:t>
            </w:r>
            <w:r>
              <w:rPr>
                <w:rFonts w:hint="default" w:ascii="Times New Roman" w:hAnsi="Times New Roman" w:cs="Times New Roman" w:eastAsiaTheme="minorEastAsia"/>
                <w:color w:val="auto"/>
                <w:kern w:val="0"/>
                <w:sz w:val="18"/>
                <w:szCs w:val="18"/>
                <w:highlight w:val="none"/>
                <w:lang w:eastAsia="zh-CN"/>
              </w:rPr>
              <w:t>第（三）项：“</w:t>
            </w:r>
            <w:r>
              <w:rPr>
                <w:rFonts w:hint="default" w:ascii="Times New Roman" w:hAnsi="Times New Roman" w:cs="Times New Roman" w:eastAsiaTheme="minorEastAsia"/>
                <w:color w:val="auto"/>
                <w:kern w:val="0"/>
                <w:sz w:val="18"/>
                <w:szCs w:val="18"/>
                <w:highlight w:val="none"/>
              </w:rPr>
              <w:t>建设单位或者个人有下列行为之一的，由所在地城市、县人民政府城乡规划主管部门责令限期拆除，可以并处临时建设工程造价一倍以下的罚款：（三）临时建筑物、构筑物超过批准期限不拆除的。</w:t>
            </w:r>
            <w:r>
              <w:rPr>
                <w:rFonts w:hint="default" w:ascii="Times New Roman" w:hAnsi="Times New Roman" w:cs="Times New Roman" w:eastAsiaTheme="minorEastAsia"/>
                <w:color w:val="auto"/>
                <w:kern w:val="0"/>
                <w:sz w:val="18"/>
                <w:szCs w:val="18"/>
                <w:highlight w:val="none"/>
                <w:lang w:eastAsia="zh-CN"/>
              </w:rPr>
              <w:t>”</w:t>
            </w:r>
          </w:p>
        </w:tc>
        <w:tc>
          <w:tcPr>
            <w:tcW w:w="177" w:type="pct"/>
            <w:gridSpan w:val="2"/>
            <w:shd w:val="clear" w:color="auto" w:fill="auto"/>
            <w:vAlign w:val="center"/>
          </w:tcPr>
          <w:p w14:paraId="08250AD2">
            <w:pPr>
              <w:widowControl/>
              <w:shd w:val="clear"/>
              <w:jc w:val="center"/>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vAlign w:val="center"/>
          </w:tcPr>
          <w:p w14:paraId="3C024F93">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临时建筑物、构筑物超过批准期限</w:t>
            </w:r>
            <w:r>
              <w:rPr>
                <w:rFonts w:hint="default" w:ascii="Times New Roman" w:hAnsi="Times New Roman" w:cs="Times New Roman" w:eastAsiaTheme="minorEastAsia"/>
                <w:color w:val="auto"/>
                <w:kern w:val="0"/>
                <w:sz w:val="18"/>
                <w:szCs w:val="18"/>
                <w:highlight w:val="none"/>
                <w:lang w:val="en-US" w:eastAsia="zh-CN"/>
              </w:rPr>
              <w:t>3</w:t>
            </w:r>
            <w:r>
              <w:rPr>
                <w:rFonts w:hint="default" w:ascii="Times New Roman" w:hAnsi="Times New Roman" w:cs="Times New Roman" w:eastAsiaTheme="minorEastAsia"/>
                <w:color w:val="auto"/>
                <w:kern w:val="0"/>
                <w:sz w:val="18"/>
                <w:szCs w:val="18"/>
                <w:highlight w:val="none"/>
              </w:rPr>
              <w:t>个月</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rPr>
              <w:t>不拆除</w:t>
            </w:r>
          </w:p>
        </w:tc>
        <w:tc>
          <w:tcPr>
            <w:tcW w:w="545" w:type="pct"/>
            <w:gridSpan w:val="2"/>
            <w:shd w:val="clear" w:color="auto" w:fill="auto"/>
            <w:vAlign w:val="center"/>
          </w:tcPr>
          <w:p w14:paraId="5683F2BE">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可以处临时建设工程造价</w:t>
            </w:r>
            <w:r>
              <w:rPr>
                <w:rFonts w:hint="default" w:ascii="Times New Roman" w:hAnsi="Times New Roman" w:cs="Times New Roman" w:eastAsiaTheme="minorEastAsia"/>
                <w:color w:val="auto"/>
                <w:kern w:val="0"/>
                <w:sz w:val="18"/>
                <w:szCs w:val="18"/>
                <w:highlight w:val="none"/>
                <w:lang w:val="en-US" w:eastAsia="zh-CN"/>
              </w:rPr>
              <w:t>0.3</w:t>
            </w:r>
            <w:r>
              <w:rPr>
                <w:rFonts w:hint="default" w:ascii="Times New Roman" w:hAnsi="Times New Roman" w:cs="Times New Roman" w:eastAsiaTheme="minorEastAsia"/>
                <w:color w:val="auto"/>
                <w:kern w:val="0"/>
                <w:sz w:val="18"/>
                <w:szCs w:val="18"/>
                <w:highlight w:val="none"/>
              </w:rPr>
              <w:t>倍以下的罚款</w:t>
            </w:r>
          </w:p>
        </w:tc>
        <w:tc>
          <w:tcPr>
            <w:tcW w:w="260" w:type="pct"/>
            <w:gridSpan w:val="3"/>
            <w:vMerge w:val="restart"/>
            <w:shd w:val="clear" w:color="auto" w:fill="auto"/>
            <w:vAlign w:val="center"/>
          </w:tcPr>
          <w:p w14:paraId="0126AB39">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责令限期拆除</w:t>
            </w:r>
          </w:p>
        </w:tc>
        <w:tc>
          <w:tcPr>
            <w:tcW w:w="326" w:type="pct"/>
            <w:vMerge w:val="restart"/>
            <w:shd w:val="clear" w:color="auto" w:fill="auto"/>
            <w:vAlign w:val="center"/>
          </w:tcPr>
          <w:p w14:paraId="24664715">
            <w:pPr>
              <w:shd w:val="clear"/>
              <w:rPr>
                <w:rFonts w:hint="default" w:ascii="Times New Roman" w:hAnsi="Times New Roman" w:cs="Times New Roman" w:eastAsiaTheme="minorEastAsia"/>
                <w:color w:val="auto"/>
                <w:sz w:val="18"/>
                <w:szCs w:val="18"/>
                <w:highlight w:val="none"/>
                <w:lang w:val="en-US"/>
              </w:rPr>
            </w:pPr>
          </w:p>
        </w:tc>
      </w:tr>
      <w:tr w14:paraId="4E31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516" w:hRule="atLeast"/>
        </w:trPr>
        <w:tc>
          <w:tcPr>
            <w:tcW w:w="117" w:type="pct"/>
            <w:gridSpan w:val="2"/>
            <w:vMerge w:val="continue"/>
            <w:shd w:val="clear" w:color="auto" w:fill="auto"/>
            <w:vAlign w:val="center"/>
          </w:tcPr>
          <w:p w14:paraId="7F4E4055">
            <w:pPr>
              <w:widowControl/>
              <w:shd w:val="clear"/>
              <w:jc w:val="left"/>
              <w:textAlignment w:val="center"/>
              <w:rPr>
                <w:rFonts w:hint="default" w:ascii="Times New Roman" w:hAnsi="Times New Roman" w:cs="Times New Roman"/>
                <w:color w:val="auto"/>
                <w:highlight w:val="none"/>
              </w:rPr>
            </w:pPr>
          </w:p>
        </w:tc>
        <w:tc>
          <w:tcPr>
            <w:tcW w:w="412" w:type="pct"/>
            <w:gridSpan w:val="2"/>
            <w:vMerge w:val="continue"/>
            <w:shd w:val="clear" w:color="auto" w:fill="auto"/>
            <w:vAlign w:val="center"/>
          </w:tcPr>
          <w:p w14:paraId="4DEBEA2D">
            <w:pPr>
              <w:widowControl/>
              <w:shd w:val="clear"/>
              <w:jc w:val="left"/>
              <w:textAlignment w:val="center"/>
              <w:rPr>
                <w:rFonts w:hint="default" w:ascii="Times New Roman" w:hAnsi="Times New Roman" w:cs="Times New Roman"/>
                <w:color w:val="auto"/>
                <w:highlight w:val="none"/>
              </w:rPr>
            </w:pPr>
          </w:p>
        </w:tc>
        <w:tc>
          <w:tcPr>
            <w:tcW w:w="1311" w:type="pct"/>
            <w:gridSpan w:val="2"/>
            <w:vMerge w:val="continue"/>
            <w:shd w:val="clear" w:color="auto" w:fill="auto"/>
            <w:vAlign w:val="center"/>
          </w:tcPr>
          <w:p w14:paraId="1FEF099E">
            <w:pPr>
              <w:widowControl/>
              <w:shd w:val="clear"/>
              <w:jc w:val="left"/>
              <w:textAlignment w:val="center"/>
              <w:rPr>
                <w:rFonts w:hint="default" w:ascii="Times New Roman" w:hAnsi="Times New Roman" w:cs="Times New Roman"/>
                <w:color w:val="auto"/>
                <w:highlight w:val="none"/>
              </w:rPr>
            </w:pPr>
          </w:p>
        </w:tc>
        <w:tc>
          <w:tcPr>
            <w:tcW w:w="1315" w:type="pct"/>
            <w:gridSpan w:val="2"/>
            <w:vMerge w:val="continue"/>
            <w:shd w:val="clear" w:color="auto" w:fill="auto"/>
            <w:vAlign w:val="center"/>
          </w:tcPr>
          <w:p w14:paraId="28D96F64">
            <w:pPr>
              <w:widowControl/>
              <w:shd w:val="clear"/>
              <w:jc w:val="left"/>
              <w:textAlignment w:val="center"/>
              <w:rPr>
                <w:rFonts w:hint="default" w:ascii="Times New Roman" w:hAnsi="Times New Roman" w:cs="Times New Roman"/>
                <w:color w:val="auto"/>
                <w:highlight w:val="none"/>
              </w:rPr>
            </w:pPr>
          </w:p>
        </w:tc>
        <w:tc>
          <w:tcPr>
            <w:tcW w:w="177" w:type="pct"/>
            <w:gridSpan w:val="2"/>
            <w:shd w:val="clear" w:color="auto" w:fill="auto"/>
            <w:vAlign w:val="center"/>
          </w:tcPr>
          <w:p w14:paraId="016B9F5F">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default" w:ascii="Times New Roman" w:hAnsi="Times New Roman" w:cs="Times New Roman" w:eastAsiaTheme="minorEastAsia"/>
                <w:color w:val="auto"/>
                <w:kern w:val="0"/>
                <w:sz w:val="18"/>
                <w:szCs w:val="18"/>
                <w:highlight w:val="none"/>
                <w:lang w:eastAsia="zh-CN"/>
              </w:rPr>
              <w:t>一般</w:t>
            </w:r>
          </w:p>
        </w:tc>
        <w:tc>
          <w:tcPr>
            <w:tcW w:w="533" w:type="pct"/>
            <w:gridSpan w:val="3"/>
            <w:shd w:val="clear" w:color="auto" w:fill="auto"/>
            <w:vAlign w:val="center"/>
          </w:tcPr>
          <w:p w14:paraId="4B64C1BF">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临时建筑物、构筑物超过批准期限</w:t>
            </w:r>
            <w:r>
              <w:rPr>
                <w:rFonts w:hint="default" w:ascii="Times New Roman" w:hAnsi="Times New Roman" w:cs="Times New Roman" w:eastAsiaTheme="minorEastAsia"/>
                <w:color w:val="auto"/>
                <w:kern w:val="0"/>
                <w:sz w:val="18"/>
                <w:szCs w:val="18"/>
                <w:highlight w:val="none"/>
                <w:lang w:val="en-US" w:eastAsia="zh-CN"/>
              </w:rPr>
              <w:t>3个月以上6个月以下</w:t>
            </w:r>
            <w:r>
              <w:rPr>
                <w:rFonts w:hint="default" w:ascii="Times New Roman" w:hAnsi="Times New Roman" w:cs="Times New Roman" w:eastAsiaTheme="minorEastAsia"/>
                <w:color w:val="auto"/>
                <w:kern w:val="0"/>
                <w:sz w:val="18"/>
                <w:szCs w:val="18"/>
                <w:highlight w:val="none"/>
              </w:rPr>
              <w:t>不拆除</w:t>
            </w:r>
          </w:p>
        </w:tc>
        <w:tc>
          <w:tcPr>
            <w:tcW w:w="545" w:type="pct"/>
            <w:gridSpan w:val="2"/>
            <w:shd w:val="clear" w:color="auto" w:fill="auto"/>
            <w:vAlign w:val="center"/>
          </w:tcPr>
          <w:p w14:paraId="3A98CF01">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eastAsia="zh-CN"/>
              </w:rPr>
              <w:t>可以</w:t>
            </w:r>
            <w:r>
              <w:rPr>
                <w:rFonts w:hint="default" w:ascii="Times New Roman" w:hAnsi="Times New Roman" w:cs="Times New Roman" w:eastAsiaTheme="minorEastAsia"/>
                <w:color w:val="auto"/>
                <w:kern w:val="0"/>
                <w:sz w:val="18"/>
                <w:szCs w:val="18"/>
                <w:highlight w:val="none"/>
              </w:rPr>
              <w:t>处临时建设工程造价</w:t>
            </w:r>
            <w:r>
              <w:rPr>
                <w:rFonts w:hint="default" w:ascii="Times New Roman" w:hAnsi="Times New Roman" w:cs="Times New Roman" w:eastAsiaTheme="minorEastAsia"/>
                <w:color w:val="auto"/>
                <w:kern w:val="0"/>
                <w:sz w:val="18"/>
                <w:szCs w:val="18"/>
                <w:highlight w:val="none"/>
                <w:lang w:val="en-US" w:eastAsia="zh-CN"/>
              </w:rPr>
              <w:t>0.3</w:t>
            </w:r>
            <w:r>
              <w:rPr>
                <w:rFonts w:hint="default" w:ascii="Times New Roman" w:hAnsi="Times New Roman" w:cs="Times New Roman" w:eastAsiaTheme="minorEastAsia"/>
                <w:color w:val="auto"/>
                <w:kern w:val="0"/>
                <w:sz w:val="18"/>
                <w:szCs w:val="18"/>
                <w:highlight w:val="none"/>
              </w:rPr>
              <w:t>倍以上</w:t>
            </w:r>
            <w:r>
              <w:rPr>
                <w:rFonts w:hint="default" w:ascii="Times New Roman" w:hAnsi="Times New Roman" w:cs="Times New Roman" w:eastAsiaTheme="minorEastAsia"/>
                <w:color w:val="auto"/>
                <w:kern w:val="0"/>
                <w:sz w:val="18"/>
                <w:szCs w:val="18"/>
                <w:highlight w:val="none"/>
                <w:lang w:val="en-US" w:eastAsia="zh-CN"/>
              </w:rPr>
              <w:t>0.7</w:t>
            </w:r>
            <w:r>
              <w:rPr>
                <w:rFonts w:hint="default" w:ascii="Times New Roman" w:hAnsi="Times New Roman" w:cs="Times New Roman" w:eastAsiaTheme="minorEastAsia"/>
                <w:color w:val="auto"/>
                <w:kern w:val="0"/>
                <w:sz w:val="18"/>
                <w:szCs w:val="18"/>
                <w:highlight w:val="none"/>
              </w:rPr>
              <w:t>倍以下的罚款</w:t>
            </w:r>
          </w:p>
        </w:tc>
        <w:tc>
          <w:tcPr>
            <w:tcW w:w="260" w:type="pct"/>
            <w:gridSpan w:val="3"/>
            <w:vMerge w:val="continue"/>
            <w:shd w:val="clear" w:color="auto" w:fill="auto"/>
            <w:vAlign w:val="center"/>
          </w:tcPr>
          <w:p w14:paraId="4A7459F2">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c>
          <w:tcPr>
            <w:tcW w:w="326" w:type="pct"/>
            <w:vMerge w:val="continue"/>
            <w:shd w:val="clear" w:color="auto" w:fill="auto"/>
            <w:vAlign w:val="center"/>
          </w:tcPr>
          <w:p w14:paraId="72F24088">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r>
      <w:tr w14:paraId="12F60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516" w:hRule="atLeast"/>
        </w:trPr>
        <w:tc>
          <w:tcPr>
            <w:tcW w:w="117" w:type="pct"/>
            <w:gridSpan w:val="2"/>
            <w:vMerge w:val="continue"/>
            <w:shd w:val="clear" w:color="auto" w:fill="auto"/>
            <w:vAlign w:val="center"/>
          </w:tcPr>
          <w:p w14:paraId="79351C61">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c>
          <w:tcPr>
            <w:tcW w:w="412" w:type="pct"/>
            <w:gridSpan w:val="2"/>
            <w:vMerge w:val="continue"/>
            <w:shd w:val="clear" w:color="auto" w:fill="auto"/>
            <w:vAlign w:val="center"/>
          </w:tcPr>
          <w:p w14:paraId="2A8CE9EE">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c>
          <w:tcPr>
            <w:tcW w:w="1311" w:type="pct"/>
            <w:gridSpan w:val="2"/>
            <w:vMerge w:val="continue"/>
            <w:shd w:val="clear" w:color="auto" w:fill="auto"/>
            <w:vAlign w:val="center"/>
          </w:tcPr>
          <w:p w14:paraId="31619D6E">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c>
          <w:tcPr>
            <w:tcW w:w="1315" w:type="pct"/>
            <w:gridSpan w:val="2"/>
            <w:vMerge w:val="continue"/>
            <w:shd w:val="clear" w:color="auto" w:fill="auto"/>
            <w:vAlign w:val="center"/>
          </w:tcPr>
          <w:p w14:paraId="570642F1">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c>
          <w:tcPr>
            <w:tcW w:w="177" w:type="pct"/>
            <w:gridSpan w:val="2"/>
            <w:shd w:val="clear" w:color="auto" w:fill="auto"/>
            <w:vAlign w:val="center"/>
          </w:tcPr>
          <w:p w14:paraId="59732521">
            <w:pPr>
              <w:widowControl/>
              <w:shd w:val="clear"/>
              <w:jc w:val="left"/>
              <w:textAlignment w:val="center"/>
              <w:rPr>
                <w:rFonts w:hint="default" w:ascii="Times New Roman" w:hAnsi="Times New Roman" w:cs="Times New Roman" w:eastAsiaTheme="minorEastAsia"/>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vAlign w:val="center"/>
          </w:tcPr>
          <w:p w14:paraId="41D9B4EA">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临时建筑物、构筑物超过批准期限</w:t>
            </w:r>
            <w:r>
              <w:rPr>
                <w:rFonts w:hint="default" w:ascii="Times New Roman" w:hAnsi="Times New Roman" w:cs="Times New Roman" w:eastAsiaTheme="minorEastAsia"/>
                <w:color w:val="auto"/>
                <w:kern w:val="0"/>
                <w:sz w:val="18"/>
                <w:szCs w:val="18"/>
                <w:highlight w:val="none"/>
                <w:lang w:val="en-US" w:eastAsia="zh-CN"/>
              </w:rPr>
              <w:t>6</w:t>
            </w:r>
            <w:r>
              <w:rPr>
                <w:rFonts w:hint="default" w:ascii="Times New Roman" w:hAnsi="Times New Roman" w:cs="Times New Roman" w:eastAsiaTheme="minorEastAsia"/>
                <w:color w:val="auto"/>
                <w:kern w:val="0"/>
                <w:sz w:val="18"/>
                <w:szCs w:val="18"/>
                <w:highlight w:val="none"/>
              </w:rPr>
              <w:t>个月</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不拆除</w:t>
            </w:r>
          </w:p>
        </w:tc>
        <w:tc>
          <w:tcPr>
            <w:tcW w:w="545" w:type="pct"/>
            <w:gridSpan w:val="2"/>
            <w:shd w:val="clear" w:color="auto" w:fill="auto"/>
            <w:vAlign w:val="center"/>
          </w:tcPr>
          <w:p w14:paraId="02DCF107">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lang w:eastAsia="zh-CN"/>
              </w:rPr>
              <w:t>可以</w:t>
            </w:r>
            <w:r>
              <w:rPr>
                <w:rFonts w:hint="default" w:ascii="Times New Roman" w:hAnsi="Times New Roman" w:cs="Times New Roman" w:eastAsiaTheme="minorEastAsia"/>
                <w:color w:val="auto"/>
                <w:kern w:val="0"/>
                <w:sz w:val="18"/>
                <w:szCs w:val="18"/>
                <w:highlight w:val="none"/>
              </w:rPr>
              <w:t>处临时建设工程造价</w:t>
            </w:r>
            <w:r>
              <w:rPr>
                <w:rFonts w:hint="default" w:ascii="Times New Roman" w:hAnsi="Times New Roman" w:cs="Times New Roman" w:eastAsiaTheme="minorEastAsia"/>
                <w:color w:val="auto"/>
                <w:kern w:val="0"/>
                <w:sz w:val="18"/>
                <w:szCs w:val="18"/>
                <w:highlight w:val="none"/>
                <w:lang w:val="en-US" w:eastAsia="zh-CN"/>
              </w:rPr>
              <w:t>0.7</w:t>
            </w:r>
            <w:r>
              <w:rPr>
                <w:rFonts w:hint="default" w:ascii="Times New Roman" w:hAnsi="Times New Roman" w:cs="Times New Roman" w:eastAsiaTheme="minorEastAsia"/>
                <w:color w:val="auto"/>
                <w:kern w:val="0"/>
                <w:sz w:val="18"/>
                <w:szCs w:val="18"/>
                <w:highlight w:val="none"/>
              </w:rPr>
              <w:t>倍</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的罚款</w:t>
            </w:r>
          </w:p>
        </w:tc>
        <w:tc>
          <w:tcPr>
            <w:tcW w:w="260" w:type="pct"/>
            <w:gridSpan w:val="3"/>
            <w:vMerge w:val="continue"/>
            <w:shd w:val="clear" w:color="auto" w:fill="auto"/>
            <w:vAlign w:val="center"/>
          </w:tcPr>
          <w:p w14:paraId="77674305">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c>
          <w:tcPr>
            <w:tcW w:w="326" w:type="pct"/>
            <w:vMerge w:val="continue"/>
            <w:shd w:val="clear" w:color="auto" w:fill="auto"/>
            <w:vAlign w:val="center"/>
          </w:tcPr>
          <w:p w14:paraId="7EB66BF6">
            <w:pPr>
              <w:widowControl/>
              <w:shd w:val="clear"/>
              <w:jc w:val="left"/>
              <w:textAlignment w:val="center"/>
              <w:rPr>
                <w:rFonts w:hint="default" w:ascii="Times New Roman" w:hAnsi="Times New Roman" w:cs="Times New Roman" w:eastAsiaTheme="minorEastAsia"/>
                <w:color w:val="auto"/>
                <w:kern w:val="0"/>
                <w:sz w:val="18"/>
                <w:szCs w:val="18"/>
                <w:highlight w:val="none"/>
              </w:rPr>
            </w:pPr>
          </w:p>
        </w:tc>
      </w:tr>
      <w:tr w14:paraId="07CE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63" w:hRule="atLeast"/>
        </w:trPr>
        <w:tc>
          <w:tcPr>
            <w:tcW w:w="117" w:type="pct"/>
            <w:gridSpan w:val="2"/>
            <w:vMerge w:val="restart"/>
            <w:shd w:val="clear" w:color="auto" w:fill="auto"/>
            <w:vAlign w:val="center"/>
          </w:tcPr>
          <w:p w14:paraId="2FBBC9E0">
            <w:pPr>
              <w:widowControl/>
              <w:shd w:val="clear"/>
              <w:jc w:val="center"/>
              <w:textAlignment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eastAsiaTheme="minorEastAsia"/>
                <w:color w:val="auto"/>
                <w:kern w:val="0"/>
                <w:sz w:val="18"/>
                <w:szCs w:val="18"/>
                <w:highlight w:val="none"/>
                <w:lang w:val="en-US" w:eastAsia="zh-CN"/>
              </w:rPr>
              <w:t>165</w:t>
            </w:r>
          </w:p>
        </w:tc>
        <w:tc>
          <w:tcPr>
            <w:tcW w:w="412" w:type="pct"/>
            <w:gridSpan w:val="2"/>
            <w:vMerge w:val="restart"/>
            <w:shd w:val="clear" w:color="auto" w:fill="auto"/>
            <w:vAlign w:val="center"/>
          </w:tcPr>
          <w:p w14:paraId="200C71AA">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未依法办理规划许可审批手续建设地下建筑物、构筑物，或者擅自改变经许可审批确定的地下空间的使用功能、高度、层数和面积的</w:t>
            </w:r>
          </w:p>
        </w:tc>
        <w:tc>
          <w:tcPr>
            <w:tcW w:w="1311" w:type="pct"/>
            <w:gridSpan w:val="2"/>
            <w:vMerge w:val="restart"/>
            <w:shd w:val="clear" w:color="auto" w:fill="auto"/>
            <w:vAlign w:val="center"/>
          </w:tcPr>
          <w:p w14:paraId="3F9F00D0">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广东省城乡规划条例》第二十八条：“开发利用城市、镇地下空间，应当考虑人民防空的需要，依法办理规划许可。”“与地面建设工程一并开发利用地下空间的，应当与地面建设工程一并办理规划许可；独立开发利用地下空间的，单独办理规划许可。”“任何单位和个人未经批准，不得擅自开挖建筑底层地面，不得擅自改变经许可确定的地下空间的使用功能、高度、层数和面积。”</w:t>
            </w:r>
          </w:p>
        </w:tc>
        <w:tc>
          <w:tcPr>
            <w:tcW w:w="1315" w:type="pct"/>
            <w:gridSpan w:val="2"/>
            <w:vMerge w:val="restart"/>
            <w:shd w:val="clear" w:color="auto" w:fill="auto"/>
            <w:vAlign w:val="center"/>
          </w:tcPr>
          <w:p w14:paraId="19340268">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广东省城乡规划条例》第七十九条：“建设单位或者个人违反本条例第二十八条规定，未依法办理规划许可审批手续建设地下建筑物、构筑物的，或者擅自改变经许可审批确定的地下空间的使用功能、高度、层数和面积的，由当地城市、县人民政府城乡规划主管部门责令停止建设，限期改正，处以建设工程造价百分之五以上百分之十以下的罚款。”</w:t>
            </w:r>
          </w:p>
        </w:tc>
        <w:tc>
          <w:tcPr>
            <w:tcW w:w="177" w:type="pct"/>
            <w:gridSpan w:val="2"/>
            <w:shd w:val="clear" w:color="auto" w:fill="auto"/>
            <w:vAlign w:val="center"/>
          </w:tcPr>
          <w:p w14:paraId="35C1762F">
            <w:pPr>
              <w:widowControl/>
              <w:shd w:val="clear"/>
              <w:jc w:val="center"/>
              <w:textAlignment w:val="center"/>
              <w:rPr>
                <w:rFonts w:hint="default"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kern w:val="0"/>
                <w:sz w:val="18"/>
                <w:szCs w:val="18"/>
                <w:highlight w:val="none"/>
                <w:lang w:eastAsia="zh-CN"/>
              </w:rPr>
              <w:t>轻微</w:t>
            </w:r>
          </w:p>
        </w:tc>
        <w:tc>
          <w:tcPr>
            <w:tcW w:w="533" w:type="pct"/>
            <w:gridSpan w:val="3"/>
            <w:shd w:val="clear" w:color="auto" w:fill="auto"/>
            <w:vAlign w:val="center"/>
          </w:tcPr>
          <w:p w14:paraId="59A973CB">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违法建筑物面积100平方米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vAlign w:val="center"/>
          </w:tcPr>
          <w:p w14:paraId="14B253B2">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处以建设工程造价5%</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lang w:val="en-US" w:eastAsia="zh-CN"/>
              </w:rPr>
              <w:t>6.5%以下</w:t>
            </w:r>
            <w:r>
              <w:rPr>
                <w:rFonts w:hint="default" w:ascii="Times New Roman" w:hAnsi="Times New Roman" w:cs="Times New Roman" w:eastAsiaTheme="minorEastAsia"/>
                <w:color w:val="auto"/>
                <w:kern w:val="0"/>
                <w:sz w:val="18"/>
                <w:szCs w:val="18"/>
                <w:highlight w:val="none"/>
              </w:rPr>
              <w:t>的罚款</w:t>
            </w:r>
          </w:p>
        </w:tc>
        <w:tc>
          <w:tcPr>
            <w:tcW w:w="260" w:type="pct"/>
            <w:gridSpan w:val="3"/>
            <w:vMerge w:val="restart"/>
            <w:shd w:val="clear" w:color="auto" w:fill="auto"/>
            <w:vAlign w:val="center"/>
          </w:tcPr>
          <w:p w14:paraId="54423C36">
            <w:pPr>
              <w:widowControl/>
              <w:shd w:val="clear"/>
              <w:jc w:val="left"/>
              <w:textAlignment w:val="center"/>
              <w:rPr>
                <w:rFonts w:hint="default" w:ascii="Times New Roman" w:hAnsi="Times New Roman" w:cs="Times New Roman" w:eastAsiaTheme="minorEastAsia"/>
                <w:color w:val="auto"/>
                <w:kern w:val="0"/>
                <w:sz w:val="18"/>
                <w:szCs w:val="18"/>
                <w:highlight w:val="none"/>
              </w:rPr>
            </w:pPr>
            <w:r>
              <w:rPr>
                <w:rFonts w:hint="default" w:ascii="Times New Roman" w:hAnsi="Times New Roman" w:cs="Times New Roman" w:eastAsiaTheme="minorEastAsia"/>
                <w:color w:val="auto"/>
                <w:kern w:val="0"/>
                <w:sz w:val="18"/>
                <w:szCs w:val="18"/>
                <w:highlight w:val="none"/>
              </w:rPr>
              <w:t>责令停止建设，限期改正</w:t>
            </w:r>
          </w:p>
          <w:p w14:paraId="4768988C">
            <w:pPr>
              <w:widowControl/>
              <w:shd w:val="clear"/>
              <w:jc w:val="left"/>
              <w:textAlignment w:val="center"/>
              <w:rPr>
                <w:rFonts w:hint="default" w:ascii="Times New Roman" w:hAnsi="Times New Roman" w:cs="Times New Roman" w:eastAsiaTheme="minorEastAsia"/>
                <w:color w:val="auto"/>
                <w:sz w:val="18"/>
                <w:szCs w:val="18"/>
                <w:highlight w:val="none"/>
              </w:rPr>
            </w:pPr>
          </w:p>
          <w:p w14:paraId="1AAE0B82">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6" w:type="pct"/>
            <w:vMerge w:val="restart"/>
            <w:shd w:val="clear" w:color="auto" w:fill="auto"/>
            <w:vAlign w:val="center"/>
          </w:tcPr>
          <w:p w14:paraId="04A97F39">
            <w:pPr>
              <w:shd w:val="clear"/>
              <w:rPr>
                <w:rFonts w:hint="default" w:ascii="Times New Roman" w:hAnsi="Times New Roman" w:cs="Times New Roman" w:eastAsiaTheme="minorEastAsia"/>
                <w:color w:val="auto"/>
                <w:sz w:val="18"/>
                <w:szCs w:val="18"/>
                <w:highlight w:val="none"/>
              </w:rPr>
            </w:pPr>
          </w:p>
        </w:tc>
      </w:tr>
      <w:tr w14:paraId="3DC6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63" w:hRule="atLeast"/>
        </w:trPr>
        <w:tc>
          <w:tcPr>
            <w:tcW w:w="117" w:type="pct"/>
            <w:gridSpan w:val="2"/>
            <w:vMerge w:val="continue"/>
            <w:shd w:val="clear" w:color="auto" w:fill="auto"/>
          </w:tcPr>
          <w:p w14:paraId="69581F21">
            <w:pPr>
              <w:shd w:val="clear"/>
              <w:jc w:val="center"/>
              <w:rPr>
                <w:rFonts w:hint="default" w:ascii="Times New Roman" w:hAnsi="Times New Roman" w:cs="Times New Roman" w:eastAsiaTheme="minorEastAsia"/>
                <w:color w:val="auto"/>
                <w:sz w:val="18"/>
                <w:szCs w:val="18"/>
                <w:highlight w:val="none"/>
              </w:rPr>
            </w:pPr>
          </w:p>
        </w:tc>
        <w:tc>
          <w:tcPr>
            <w:tcW w:w="412" w:type="pct"/>
            <w:gridSpan w:val="2"/>
            <w:vMerge w:val="continue"/>
            <w:shd w:val="clear" w:color="auto" w:fill="auto"/>
          </w:tcPr>
          <w:p w14:paraId="24A6B62E">
            <w:pPr>
              <w:shd w:val="clear"/>
              <w:jc w:val="left"/>
              <w:rPr>
                <w:rFonts w:hint="default" w:ascii="Times New Roman" w:hAnsi="Times New Roman" w:cs="Times New Roman" w:eastAsiaTheme="minorEastAsia"/>
                <w:color w:val="auto"/>
                <w:sz w:val="18"/>
                <w:szCs w:val="18"/>
                <w:highlight w:val="none"/>
              </w:rPr>
            </w:pPr>
          </w:p>
        </w:tc>
        <w:tc>
          <w:tcPr>
            <w:tcW w:w="1311" w:type="pct"/>
            <w:gridSpan w:val="2"/>
            <w:vMerge w:val="continue"/>
            <w:shd w:val="clear" w:color="auto" w:fill="auto"/>
          </w:tcPr>
          <w:p w14:paraId="0FD96439">
            <w:pPr>
              <w:shd w:val="clear"/>
              <w:jc w:val="left"/>
              <w:rPr>
                <w:rFonts w:hint="default" w:ascii="Times New Roman" w:hAnsi="Times New Roman" w:cs="Times New Roman" w:eastAsiaTheme="minorEastAsia"/>
                <w:color w:val="auto"/>
                <w:sz w:val="18"/>
                <w:szCs w:val="18"/>
                <w:highlight w:val="none"/>
              </w:rPr>
            </w:pPr>
          </w:p>
        </w:tc>
        <w:tc>
          <w:tcPr>
            <w:tcW w:w="1315" w:type="pct"/>
            <w:gridSpan w:val="2"/>
            <w:vMerge w:val="continue"/>
            <w:shd w:val="clear" w:color="auto" w:fill="auto"/>
          </w:tcPr>
          <w:p w14:paraId="7D1D9687">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vAlign w:val="center"/>
          </w:tcPr>
          <w:p w14:paraId="52812808">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一般</w:t>
            </w:r>
          </w:p>
        </w:tc>
        <w:tc>
          <w:tcPr>
            <w:tcW w:w="533" w:type="pct"/>
            <w:gridSpan w:val="3"/>
            <w:shd w:val="clear" w:color="auto" w:fill="auto"/>
            <w:vAlign w:val="center"/>
          </w:tcPr>
          <w:p w14:paraId="24CCD084">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违法建筑物面积100平方米</w:t>
            </w:r>
            <w:r>
              <w:rPr>
                <w:rFonts w:hint="default" w:ascii="Times New Roman" w:hAnsi="Times New Roman" w:cs="Times New Roman" w:eastAsiaTheme="minorEastAsia"/>
                <w:color w:val="auto"/>
                <w:kern w:val="0"/>
                <w:sz w:val="18"/>
                <w:szCs w:val="18"/>
                <w:highlight w:val="none"/>
                <w:lang w:eastAsia="zh-CN"/>
              </w:rPr>
              <w:t>以上</w:t>
            </w:r>
            <w:r>
              <w:rPr>
                <w:rFonts w:hint="default" w:ascii="Times New Roman" w:hAnsi="Times New Roman" w:cs="Times New Roman" w:eastAsiaTheme="minorEastAsia"/>
                <w:color w:val="auto"/>
                <w:kern w:val="0"/>
                <w:sz w:val="18"/>
                <w:szCs w:val="18"/>
                <w:highlight w:val="none"/>
              </w:rPr>
              <w:t>500平方米</w:t>
            </w:r>
            <w:r>
              <w:rPr>
                <w:rFonts w:hint="default" w:ascii="Times New Roman" w:hAnsi="Times New Roman" w:cs="Times New Roman" w:eastAsiaTheme="minorEastAsia"/>
                <w:color w:val="auto"/>
                <w:kern w:val="0"/>
                <w:sz w:val="18"/>
                <w:szCs w:val="18"/>
                <w:highlight w:val="none"/>
                <w:lang w:eastAsia="zh-CN"/>
              </w:rPr>
              <w:t>以下</w:t>
            </w:r>
          </w:p>
        </w:tc>
        <w:tc>
          <w:tcPr>
            <w:tcW w:w="545" w:type="pct"/>
            <w:gridSpan w:val="2"/>
            <w:shd w:val="clear" w:color="auto" w:fill="auto"/>
            <w:vAlign w:val="center"/>
          </w:tcPr>
          <w:p w14:paraId="7199CE1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处以建设工程造价</w:t>
            </w:r>
            <w:r>
              <w:rPr>
                <w:rFonts w:hint="default" w:ascii="Times New Roman" w:hAnsi="Times New Roman" w:cs="Times New Roman" w:eastAsiaTheme="minorEastAsia"/>
                <w:color w:val="auto"/>
                <w:kern w:val="0"/>
                <w:sz w:val="18"/>
                <w:szCs w:val="18"/>
                <w:highlight w:val="none"/>
                <w:lang w:val="en-US" w:eastAsia="zh-CN"/>
              </w:rPr>
              <w:t>6.5%以上8.5%以下</w:t>
            </w:r>
            <w:r>
              <w:rPr>
                <w:rFonts w:hint="default" w:ascii="Times New Roman" w:hAnsi="Times New Roman" w:cs="Times New Roman" w:eastAsiaTheme="minorEastAsia"/>
                <w:color w:val="auto"/>
                <w:kern w:val="0"/>
                <w:sz w:val="18"/>
                <w:szCs w:val="18"/>
                <w:highlight w:val="none"/>
              </w:rPr>
              <w:t>的罚款</w:t>
            </w:r>
          </w:p>
        </w:tc>
        <w:tc>
          <w:tcPr>
            <w:tcW w:w="260" w:type="pct"/>
            <w:gridSpan w:val="3"/>
            <w:vMerge w:val="continue"/>
            <w:shd w:val="clear" w:color="auto" w:fill="auto"/>
            <w:vAlign w:val="center"/>
          </w:tcPr>
          <w:p w14:paraId="03FC0AEC">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6" w:type="pct"/>
            <w:vMerge w:val="continue"/>
            <w:shd w:val="clear" w:color="auto" w:fill="auto"/>
            <w:vAlign w:val="center"/>
          </w:tcPr>
          <w:p w14:paraId="3D543F77">
            <w:pPr>
              <w:shd w:val="clear"/>
              <w:rPr>
                <w:rFonts w:hint="default" w:ascii="Times New Roman" w:hAnsi="Times New Roman" w:cs="Times New Roman" w:eastAsiaTheme="minorEastAsia"/>
                <w:color w:val="auto"/>
                <w:sz w:val="18"/>
                <w:szCs w:val="18"/>
                <w:highlight w:val="none"/>
              </w:rPr>
            </w:pPr>
          </w:p>
        </w:tc>
      </w:tr>
      <w:tr w14:paraId="48BD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0" w:type="pct"/>
          <w:trHeight w:val="1163" w:hRule="atLeast"/>
        </w:trPr>
        <w:tc>
          <w:tcPr>
            <w:tcW w:w="117" w:type="pct"/>
            <w:gridSpan w:val="2"/>
            <w:vMerge w:val="continue"/>
            <w:shd w:val="clear" w:color="auto" w:fill="auto"/>
            <w:vAlign w:val="center"/>
          </w:tcPr>
          <w:p w14:paraId="4EA91677">
            <w:pPr>
              <w:shd w:val="clear"/>
              <w:jc w:val="center"/>
              <w:rPr>
                <w:rFonts w:hint="default" w:ascii="Times New Roman" w:hAnsi="Times New Roman" w:cs="Times New Roman" w:eastAsiaTheme="minorEastAsia"/>
                <w:color w:val="auto"/>
                <w:sz w:val="18"/>
                <w:szCs w:val="18"/>
                <w:highlight w:val="none"/>
              </w:rPr>
            </w:pPr>
          </w:p>
        </w:tc>
        <w:tc>
          <w:tcPr>
            <w:tcW w:w="412" w:type="pct"/>
            <w:gridSpan w:val="2"/>
            <w:vMerge w:val="continue"/>
            <w:shd w:val="clear" w:color="auto" w:fill="auto"/>
            <w:vAlign w:val="center"/>
          </w:tcPr>
          <w:p w14:paraId="612E1A35">
            <w:pPr>
              <w:shd w:val="clear"/>
              <w:jc w:val="left"/>
              <w:rPr>
                <w:rFonts w:hint="default" w:ascii="Times New Roman" w:hAnsi="Times New Roman" w:cs="Times New Roman" w:eastAsiaTheme="minorEastAsia"/>
                <w:color w:val="auto"/>
                <w:sz w:val="18"/>
                <w:szCs w:val="18"/>
                <w:highlight w:val="none"/>
              </w:rPr>
            </w:pPr>
          </w:p>
        </w:tc>
        <w:tc>
          <w:tcPr>
            <w:tcW w:w="1311" w:type="pct"/>
            <w:gridSpan w:val="2"/>
            <w:vMerge w:val="continue"/>
            <w:shd w:val="clear" w:color="auto" w:fill="auto"/>
            <w:vAlign w:val="center"/>
          </w:tcPr>
          <w:p w14:paraId="4113299D">
            <w:pPr>
              <w:shd w:val="clear"/>
              <w:jc w:val="left"/>
              <w:rPr>
                <w:rFonts w:hint="default" w:ascii="Times New Roman" w:hAnsi="Times New Roman" w:cs="Times New Roman" w:eastAsiaTheme="minorEastAsia"/>
                <w:color w:val="auto"/>
                <w:sz w:val="18"/>
                <w:szCs w:val="18"/>
                <w:highlight w:val="none"/>
              </w:rPr>
            </w:pPr>
          </w:p>
        </w:tc>
        <w:tc>
          <w:tcPr>
            <w:tcW w:w="1315" w:type="pct"/>
            <w:gridSpan w:val="2"/>
            <w:vMerge w:val="continue"/>
            <w:shd w:val="clear" w:color="auto" w:fill="auto"/>
            <w:vAlign w:val="center"/>
          </w:tcPr>
          <w:p w14:paraId="0760241C">
            <w:pPr>
              <w:shd w:val="clear"/>
              <w:jc w:val="left"/>
              <w:rPr>
                <w:rFonts w:hint="default" w:ascii="Times New Roman" w:hAnsi="Times New Roman" w:cs="Times New Roman" w:eastAsiaTheme="minorEastAsia"/>
                <w:color w:val="auto"/>
                <w:sz w:val="18"/>
                <w:szCs w:val="18"/>
                <w:highlight w:val="none"/>
              </w:rPr>
            </w:pPr>
          </w:p>
        </w:tc>
        <w:tc>
          <w:tcPr>
            <w:tcW w:w="177" w:type="pct"/>
            <w:gridSpan w:val="2"/>
            <w:shd w:val="clear" w:color="auto" w:fill="auto"/>
            <w:vAlign w:val="center"/>
          </w:tcPr>
          <w:p w14:paraId="0771FA90">
            <w:pPr>
              <w:widowControl/>
              <w:shd w:val="clear"/>
              <w:jc w:val="center"/>
              <w:textAlignment w:val="center"/>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kern w:val="0"/>
                <w:sz w:val="18"/>
                <w:szCs w:val="18"/>
                <w:highlight w:val="none"/>
                <w:lang w:eastAsia="zh-CN"/>
              </w:rPr>
              <w:t>严重</w:t>
            </w:r>
          </w:p>
        </w:tc>
        <w:tc>
          <w:tcPr>
            <w:tcW w:w="533" w:type="pct"/>
            <w:gridSpan w:val="3"/>
            <w:shd w:val="clear" w:color="auto" w:fill="auto"/>
            <w:vAlign w:val="center"/>
          </w:tcPr>
          <w:p w14:paraId="4B3FFFE1">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违法建筑物面积500平方米</w:t>
            </w:r>
            <w:r>
              <w:rPr>
                <w:rFonts w:hint="default" w:ascii="Times New Roman" w:hAnsi="Times New Roman" w:cs="Times New Roman" w:eastAsiaTheme="minorEastAsia"/>
                <w:color w:val="auto"/>
                <w:kern w:val="0"/>
                <w:sz w:val="18"/>
                <w:szCs w:val="18"/>
                <w:highlight w:val="none"/>
                <w:lang w:eastAsia="zh-CN"/>
              </w:rPr>
              <w:t>以上</w:t>
            </w:r>
          </w:p>
        </w:tc>
        <w:tc>
          <w:tcPr>
            <w:tcW w:w="545" w:type="pct"/>
            <w:gridSpan w:val="2"/>
            <w:shd w:val="clear" w:color="auto" w:fill="auto"/>
            <w:vAlign w:val="center"/>
          </w:tcPr>
          <w:p w14:paraId="6F6E21A9">
            <w:pPr>
              <w:widowControl/>
              <w:shd w:val="clear"/>
              <w:jc w:val="left"/>
              <w:textAlignment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kern w:val="0"/>
                <w:sz w:val="18"/>
                <w:szCs w:val="18"/>
                <w:highlight w:val="none"/>
              </w:rPr>
              <w:t>处以建设工程造价</w:t>
            </w:r>
            <w:r>
              <w:rPr>
                <w:rFonts w:hint="default" w:ascii="Times New Roman" w:hAnsi="Times New Roman" w:cs="Times New Roman" w:eastAsiaTheme="minorEastAsia"/>
                <w:color w:val="auto"/>
                <w:kern w:val="0"/>
                <w:sz w:val="18"/>
                <w:szCs w:val="18"/>
                <w:highlight w:val="none"/>
                <w:lang w:val="en-US" w:eastAsia="zh-CN"/>
              </w:rPr>
              <w:t>8.5%以上</w:t>
            </w:r>
            <w:r>
              <w:rPr>
                <w:rFonts w:hint="default" w:ascii="Times New Roman" w:hAnsi="Times New Roman" w:cs="Times New Roman" w:eastAsiaTheme="minorEastAsia"/>
                <w:color w:val="auto"/>
                <w:kern w:val="0"/>
                <w:sz w:val="18"/>
                <w:szCs w:val="18"/>
                <w:highlight w:val="none"/>
              </w:rPr>
              <w:t>10%</w:t>
            </w:r>
            <w:r>
              <w:rPr>
                <w:rFonts w:hint="default" w:ascii="Times New Roman" w:hAnsi="Times New Roman" w:cs="Times New Roman" w:eastAsiaTheme="minorEastAsia"/>
                <w:color w:val="auto"/>
                <w:kern w:val="0"/>
                <w:sz w:val="18"/>
                <w:szCs w:val="18"/>
                <w:highlight w:val="none"/>
                <w:lang w:eastAsia="zh-CN"/>
              </w:rPr>
              <w:t>以下</w:t>
            </w:r>
            <w:r>
              <w:rPr>
                <w:rFonts w:hint="default" w:ascii="Times New Roman" w:hAnsi="Times New Roman" w:cs="Times New Roman" w:eastAsiaTheme="minorEastAsia"/>
                <w:color w:val="auto"/>
                <w:kern w:val="0"/>
                <w:sz w:val="18"/>
                <w:szCs w:val="18"/>
                <w:highlight w:val="none"/>
              </w:rPr>
              <w:t>的罚款</w:t>
            </w:r>
          </w:p>
        </w:tc>
        <w:tc>
          <w:tcPr>
            <w:tcW w:w="260" w:type="pct"/>
            <w:gridSpan w:val="3"/>
            <w:vMerge w:val="continue"/>
            <w:shd w:val="clear" w:color="auto" w:fill="auto"/>
            <w:vAlign w:val="center"/>
          </w:tcPr>
          <w:p w14:paraId="5B4AC77E">
            <w:pPr>
              <w:widowControl/>
              <w:shd w:val="clear"/>
              <w:jc w:val="left"/>
              <w:textAlignment w:val="center"/>
              <w:rPr>
                <w:rFonts w:hint="default" w:ascii="Times New Roman" w:hAnsi="Times New Roman" w:cs="Times New Roman" w:eastAsiaTheme="minorEastAsia"/>
                <w:color w:val="auto"/>
                <w:sz w:val="18"/>
                <w:szCs w:val="18"/>
                <w:highlight w:val="none"/>
              </w:rPr>
            </w:pPr>
          </w:p>
        </w:tc>
        <w:tc>
          <w:tcPr>
            <w:tcW w:w="326" w:type="pct"/>
            <w:vMerge w:val="continue"/>
            <w:shd w:val="clear" w:color="auto" w:fill="auto"/>
            <w:vAlign w:val="center"/>
          </w:tcPr>
          <w:p w14:paraId="10E276DC">
            <w:pPr>
              <w:shd w:val="clear"/>
              <w:rPr>
                <w:rFonts w:hint="default" w:ascii="Times New Roman" w:hAnsi="Times New Roman" w:cs="Times New Roman" w:eastAsiaTheme="minorEastAsia"/>
                <w:color w:val="auto"/>
                <w:sz w:val="18"/>
                <w:szCs w:val="18"/>
                <w:highlight w:val="none"/>
              </w:rPr>
            </w:pPr>
          </w:p>
        </w:tc>
      </w:tr>
    </w:tbl>
    <w:p w14:paraId="772E0158">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备注：</w:t>
      </w:r>
      <w:r>
        <w:rPr>
          <w:rFonts w:hint="default" w:ascii="Times New Roman" w:hAnsi="Times New Roman" w:eastAsia="仿宋_GB2312" w:cs="Times New Roman"/>
          <w:sz w:val="28"/>
          <w:szCs w:val="28"/>
          <w:lang w:val="en-US" w:eastAsia="zh-CN"/>
        </w:rPr>
        <w:t>1.违法情节和后果一栏的“以上”包括本数，“以下”不包括本数；处罚自由裁量标准一栏的“以上”包括本数，“以下”在适用</w:t>
      </w:r>
      <w:r>
        <w:rPr>
          <w:rFonts w:hint="eastAsia" w:ascii="Times New Roman" w:hAnsi="Times New Roman" w:eastAsia="仿宋_GB2312" w:cs="Times New Roman"/>
          <w:sz w:val="28"/>
          <w:szCs w:val="28"/>
          <w:lang w:val="en-US" w:eastAsia="zh-CN"/>
        </w:rPr>
        <w:t>严重</w:t>
      </w:r>
      <w:r>
        <w:rPr>
          <w:rFonts w:hint="default" w:ascii="Times New Roman" w:hAnsi="Times New Roman" w:eastAsia="仿宋_GB2312" w:cs="Times New Roman"/>
          <w:sz w:val="28"/>
          <w:szCs w:val="28"/>
          <w:lang w:val="en-US" w:eastAsia="zh-CN"/>
        </w:rPr>
        <w:t>处罚时包括本数，其它情形不包括本数。</w:t>
      </w:r>
    </w:p>
    <w:p w14:paraId="2CD25D11">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2.违法情节和后果一栏的“被查处次数”，是指行政处罚相对人的违法行为被执法部门予以行政处罚后，再实施同一类型违法行为且被执法部门认定的次数。</w:t>
      </w:r>
    </w:p>
    <w:p w14:paraId="32611EDE">
      <w:pPr>
        <w:keepNext w:val="0"/>
        <w:keepLines w:val="0"/>
        <w:pageBreakBefore w:val="0"/>
        <w:widowControl/>
        <w:shd w:val="clear"/>
        <w:kinsoku/>
        <w:wordWrap/>
        <w:overflowPunct/>
        <w:topLinePunct w:val="0"/>
        <w:autoSpaceDE/>
        <w:autoSpaceDN/>
        <w:bidi w:val="0"/>
        <w:adjustRightInd/>
        <w:snapToGrid/>
        <w:spacing w:line="360" w:lineRule="exact"/>
        <w:textAlignment w:val="auto"/>
        <w:rPr>
          <w:ins w:id="0" w:author="zyt" w:date="2024-12-16T11:42:22Z"/>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3.关于城市绿化管理方面的行政处罚，直接适用《广东省住房和城乡建设厅关于&lt;广东省城市绿化条例&gt;行政处罚裁量基准（暂行）》。</w:t>
      </w:r>
    </w:p>
    <w:p w14:paraId="520B6970">
      <w:pPr>
        <w:pStyle w:val="13"/>
        <w:rPr>
          <w:rFonts w:hint="default"/>
          <w:lang w:val="en-US" w:eastAsia="zh-CN"/>
        </w:rPr>
      </w:pPr>
    </w:p>
    <w:p w14:paraId="1FACFC35">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本规范性文件已经市司法局合法性审查同意发布</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编号为DGSCSGLHZHZFJ-2024-082。</w:t>
      </w:r>
    </w:p>
    <w:sectPr>
      <w:footerReference r:id="rId3" w:type="default"/>
      <w:pgSz w:w="16838" w:h="11906" w:orient="landscape"/>
      <w:pgMar w:top="720" w:right="720" w:bottom="720" w:left="72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华康简标题宋"/>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华康简标题宋"/>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康简标题宋">
    <w:panose1 w:val="02010609000101010101"/>
    <w:charset w:val="00"/>
    <w:family w:val="auto"/>
    <w:pitch w:val="default"/>
    <w:sig w:usb0="00000000" w:usb1="00000000" w:usb2="00000000" w:usb3="00000000" w:csb0="00006900" w:csb1="630065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4F617">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789A1A">
                          <w:pPr>
                            <w:pStyle w:val="5"/>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09789A1A">
                    <w:pPr>
                      <w:pStyle w:val="5"/>
                    </w:pPr>
                    <w:r>
                      <w:fldChar w:fldCharType="begin"/>
                    </w:r>
                    <w:r>
                      <w:instrText xml:space="preserve"> PAGE  \* MERGEFORMAT </w:instrText>
                    </w:r>
                    <w:r>
                      <w:fldChar w:fldCharType="separate"/>
                    </w:r>
                    <w:r>
                      <w:t>76</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yt">
    <w15:presenceInfo w15:providerId="None" w15:userId="zy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YzZlMDU3MjUyZmZhYjQ1NDUyNWNhNjhlZGYyMWMifQ=="/>
  </w:docVars>
  <w:rsids>
    <w:rsidRoot w:val="00B8674C"/>
    <w:rsid w:val="00057EC3"/>
    <w:rsid w:val="000E6320"/>
    <w:rsid w:val="00123F76"/>
    <w:rsid w:val="00170391"/>
    <w:rsid w:val="00174C9B"/>
    <w:rsid w:val="00185DFB"/>
    <w:rsid w:val="001925B9"/>
    <w:rsid w:val="001A08C8"/>
    <w:rsid w:val="001E3F72"/>
    <w:rsid w:val="00233E60"/>
    <w:rsid w:val="00246213"/>
    <w:rsid w:val="00250430"/>
    <w:rsid w:val="00256BB2"/>
    <w:rsid w:val="0028457E"/>
    <w:rsid w:val="002C3E8A"/>
    <w:rsid w:val="00304FE8"/>
    <w:rsid w:val="00326ABE"/>
    <w:rsid w:val="0042382D"/>
    <w:rsid w:val="00427A9B"/>
    <w:rsid w:val="0044258A"/>
    <w:rsid w:val="00566FB7"/>
    <w:rsid w:val="005D3DB2"/>
    <w:rsid w:val="006555CC"/>
    <w:rsid w:val="006B09DD"/>
    <w:rsid w:val="006C163A"/>
    <w:rsid w:val="00721CB3"/>
    <w:rsid w:val="0072261F"/>
    <w:rsid w:val="00725652"/>
    <w:rsid w:val="00751086"/>
    <w:rsid w:val="00807BAC"/>
    <w:rsid w:val="008642EA"/>
    <w:rsid w:val="00895A84"/>
    <w:rsid w:val="008E3585"/>
    <w:rsid w:val="00A45916"/>
    <w:rsid w:val="00A86225"/>
    <w:rsid w:val="00AB6D66"/>
    <w:rsid w:val="00B8674C"/>
    <w:rsid w:val="00C70509"/>
    <w:rsid w:val="00C860C6"/>
    <w:rsid w:val="00D3048E"/>
    <w:rsid w:val="00D90BF2"/>
    <w:rsid w:val="00EB6A61"/>
    <w:rsid w:val="00EC72F9"/>
    <w:rsid w:val="00F077B6"/>
    <w:rsid w:val="00F26B2C"/>
    <w:rsid w:val="00F522BA"/>
    <w:rsid w:val="00F56CBA"/>
    <w:rsid w:val="00FE16F0"/>
    <w:rsid w:val="031CAB7C"/>
    <w:rsid w:val="03A825AD"/>
    <w:rsid w:val="046411E7"/>
    <w:rsid w:val="04FE33AE"/>
    <w:rsid w:val="06FFC5C3"/>
    <w:rsid w:val="07DE180A"/>
    <w:rsid w:val="07EF5511"/>
    <w:rsid w:val="07FF479B"/>
    <w:rsid w:val="07FFC863"/>
    <w:rsid w:val="09F7C532"/>
    <w:rsid w:val="0BD7E28A"/>
    <w:rsid w:val="0BFFE28F"/>
    <w:rsid w:val="0CAFAF70"/>
    <w:rsid w:val="0DDE39BD"/>
    <w:rsid w:val="0DFF7B21"/>
    <w:rsid w:val="0E6F5C09"/>
    <w:rsid w:val="0EB5A22A"/>
    <w:rsid w:val="0F475936"/>
    <w:rsid w:val="0FCB8DB4"/>
    <w:rsid w:val="0FEF692E"/>
    <w:rsid w:val="11FBBA0B"/>
    <w:rsid w:val="13E65B07"/>
    <w:rsid w:val="13EE1B2A"/>
    <w:rsid w:val="13EE77AA"/>
    <w:rsid w:val="14FFBB25"/>
    <w:rsid w:val="15FF4E7B"/>
    <w:rsid w:val="16DF1074"/>
    <w:rsid w:val="16DF5664"/>
    <w:rsid w:val="171B5599"/>
    <w:rsid w:val="175F8DB7"/>
    <w:rsid w:val="176F8A87"/>
    <w:rsid w:val="17EFD9C8"/>
    <w:rsid w:val="17FFF633"/>
    <w:rsid w:val="18EFFC11"/>
    <w:rsid w:val="193261D2"/>
    <w:rsid w:val="19CFA40B"/>
    <w:rsid w:val="19FF2294"/>
    <w:rsid w:val="1A73414D"/>
    <w:rsid w:val="1B5AA222"/>
    <w:rsid w:val="1B9CC336"/>
    <w:rsid w:val="1BCB4A07"/>
    <w:rsid w:val="1BE386F5"/>
    <w:rsid w:val="1BFB001E"/>
    <w:rsid w:val="1BFB81B9"/>
    <w:rsid w:val="1BFFDF04"/>
    <w:rsid w:val="1C5575AA"/>
    <w:rsid w:val="1C6D153C"/>
    <w:rsid w:val="1CF950E4"/>
    <w:rsid w:val="1CFE4D7C"/>
    <w:rsid w:val="1D0015A8"/>
    <w:rsid w:val="1D26166A"/>
    <w:rsid w:val="1D36620D"/>
    <w:rsid w:val="1DFF2847"/>
    <w:rsid w:val="1EBB7AC1"/>
    <w:rsid w:val="1EDFB2E6"/>
    <w:rsid w:val="1EFFEA78"/>
    <w:rsid w:val="1F369635"/>
    <w:rsid w:val="1F5B97A3"/>
    <w:rsid w:val="1F5E095A"/>
    <w:rsid w:val="1F73C77E"/>
    <w:rsid w:val="1F7E5A73"/>
    <w:rsid w:val="1F970862"/>
    <w:rsid w:val="1FBEBA67"/>
    <w:rsid w:val="1FD9155C"/>
    <w:rsid w:val="1FE7C292"/>
    <w:rsid w:val="1FE7EBE5"/>
    <w:rsid w:val="1FF96C74"/>
    <w:rsid w:val="1FFAB8C0"/>
    <w:rsid w:val="1FFD5D2F"/>
    <w:rsid w:val="1FFDA088"/>
    <w:rsid w:val="1FFDB45C"/>
    <w:rsid w:val="1FFE1AC9"/>
    <w:rsid w:val="1FFE47D0"/>
    <w:rsid w:val="1FFEA264"/>
    <w:rsid w:val="22EF6C48"/>
    <w:rsid w:val="23516362"/>
    <w:rsid w:val="237F606E"/>
    <w:rsid w:val="23BD2AB8"/>
    <w:rsid w:val="23CCB948"/>
    <w:rsid w:val="259BCC41"/>
    <w:rsid w:val="25D9A14D"/>
    <w:rsid w:val="25EF633A"/>
    <w:rsid w:val="25F5586D"/>
    <w:rsid w:val="25FB1314"/>
    <w:rsid w:val="260F3FF9"/>
    <w:rsid w:val="261DE64B"/>
    <w:rsid w:val="2738B13B"/>
    <w:rsid w:val="27A5E9B9"/>
    <w:rsid w:val="27AF6306"/>
    <w:rsid w:val="27B673D2"/>
    <w:rsid w:val="27B8721F"/>
    <w:rsid w:val="27C1B4B5"/>
    <w:rsid w:val="27C6AD02"/>
    <w:rsid w:val="27FBD18F"/>
    <w:rsid w:val="28379169"/>
    <w:rsid w:val="29FC35F5"/>
    <w:rsid w:val="2A7B945E"/>
    <w:rsid w:val="2A8466B1"/>
    <w:rsid w:val="2B7D2836"/>
    <w:rsid w:val="2B7FD7A3"/>
    <w:rsid w:val="2BBC65AC"/>
    <w:rsid w:val="2BBD2BD2"/>
    <w:rsid w:val="2BD4F2D4"/>
    <w:rsid w:val="2BEEA7E6"/>
    <w:rsid w:val="2BF37A41"/>
    <w:rsid w:val="2BFBDE1F"/>
    <w:rsid w:val="2D5B1D81"/>
    <w:rsid w:val="2D7BDCB9"/>
    <w:rsid w:val="2DF6C89C"/>
    <w:rsid w:val="2DF79EC8"/>
    <w:rsid w:val="2DFED492"/>
    <w:rsid w:val="2DFF13E6"/>
    <w:rsid w:val="2E7EA85F"/>
    <w:rsid w:val="2E9FFE4F"/>
    <w:rsid w:val="2EA79212"/>
    <w:rsid w:val="2EAA23FE"/>
    <w:rsid w:val="2EBEAC28"/>
    <w:rsid w:val="2EDF42F9"/>
    <w:rsid w:val="2EEE3A32"/>
    <w:rsid w:val="2EFB980D"/>
    <w:rsid w:val="2EFF11D2"/>
    <w:rsid w:val="2F3BA270"/>
    <w:rsid w:val="2F3D54F5"/>
    <w:rsid w:val="2F4B54D7"/>
    <w:rsid w:val="2F4C273C"/>
    <w:rsid w:val="2F534F18"/>
    <w:rsid w:val="2F5F4C19"/>
    <w:rsid w:val="2F7DF6DA"/>
    <w:rsid w:val="2F9B8E1E"/>
    <w:rsid w:val="2FA7AEB4"/>
    <w:rsid w:val="2FD7ED21"/>
    <w:rsid w:val="2FE101AC"/>
    <w:rsid w:val="2FF69726"/>
    <w:rsid w:val="2FF69CC9"/>
    <w:rsid w:val="2FF70B90"/>
    <w:rsid w:val="2FF72029"/>
    <w:rsid w:val="2FF9C0BD"/>
    <w:rsid w:val="2FFB5801"/>
    <w:rsid w:val="2FFB7313"/>
    <w:rsid w:val="2FFFBC7A"/>
    <w:rsid w:val="30E757FD"/>
    <w:rsid w:val="30F7B93A"/>
    <w:rsid w:val="3155EA95"/>
    <w:rsid w:val="3158452B"/>
    <w:rsid w:val="32DD28D7"/>
    <w:rsid w:val="32EF2B90"/>
    <w:rsid w:val="331EB6E8"/>
    <w:rsid w:val="333943AC"/>
    <w:rsid w:val="337E36A2"/>
    <w:rsid w:val="337EB9FD"/>
    <w:rsid w:val="33BD14ED"/>
    <w:rsid w:val="33BFA2F9"/>
    <w:rsid w:val="33D6339A"/>
    <w:rsid w:val="33EF610A"/>
    <w:rsid w:val="33FF8325"/>
    <w:rsid w:val="34ED21D6"/>
    <w:rsid w:val="34FF2643"/>
    <w:rsid w:val="35BFA87D"/>
    <w:rsid w:val="35D196B0"/>
    <w:rsid w:val="35EF31D4"/>
    <w:rsid w:val="35F15B78"/>
    <w:rsid w:val="35FF14F6"/>
    <w:rsid w:val="36174BBC"/>
    <w:rsid w:val="361E6574"/>
    <w:rsid w:val="365FA650"/>
    <w:rsid w:val="366FFD38"/>
    <w:rsid w:val="36FB85CF"/>
    <w:rsid w:val="36FC3004"/>
    <w:rsid w:val="36FDA69A"/>
    <w:rsid w:val="36FF1FC5"/>
    <w:rsid w:val="36FF97E5"/>
    <w:rsid w:val="373735C4"/>
    <w:rsid w:val="373BB820"/>
    <w:rsid w:val="373DFA9D"/>
    <w:rsid w:val="373F1B1F"/>
    <w:rsid w:val="373FAC16"/>
    <w:rsid w:val="37776385"/>
    <w:rsid w:val="377D9C1B"/>
    <w:rsid w:val="379CDEF1"/>
    <w:rsid w:val="37CD6786"/>
    <w:rsid w:val="37EFE5E9"/>
    <w:rsid w:val="37F22C02"/>
    <w:rsid w:val="37F5332D"/>
    <w:rsid w:val="37FBE7A5"/>
    <w:rsid w:val="37FD5CA3"/>
    <w:rsid w:val="37FD8183"/>
    <w:rsid w:val="37FDA476"/>
    <w:rsid w:val="37FF05D2"/>
    <w:rsid w:val="37FF40DE"/>
    <w:rsid w:val="37FF5A1D"/>
    <w:rsid w:val="389C0AE2"/>
    <w:rsid w:val="38F3C0C2"/>
    <w:rsid w:val="39775DCF"/>
    <w:rsid w:val="39B742AD"/>
    <w:rsid w:val="39BD2AC5"/>
    <w:rsid w:val="39CBD987"/>
    <w:rsid w:val="39DE92D9"/>
    <w:rsid w:val="39FCC239"/>
    <w:rsid w:val="3A2B82A4"/>
    <w:rsid w:val="3A5F2F96"/>
    <w:rsid w:val="3A7D2F75"/>
    <w:rsid w:val="3AB906BD"/>
    <w:rsid w:val="3ABB4A23"/>
    <w:rsid w:val="3ACDD558"/>
    <w:rsid w:val="3AD55E95"/>
    <w:rsid w:val="3AFB71D3"/>
    <w:rsid w:val="3AFF001A"/>
    <w:rsid w:val="3AFFD150"/>
    <w:rsid w:val="3B3F8610"/>
    <w:rsid w:val="3B56D7BC"/>
    <w:rsid w:val="3B7F8FAE"/>
    <w:rsid w:val="3BBC6754"/>
    <w:rsid w:val="3BCFD0DC"/>
    <w:rsid w:val="3BD77131"/>
    <w:rsid w:val="3BD81AFD"/>
    <w:rsid w:val="3BE71084"/>
    <w:rsid w:val="3BF7E6B9"/>
    <w:rsid w:val="3BFA435E"/>
    <w:rsid w:val="3BFC45DD"/>
    <w:rsid w:val="3BFD27F5"/>
    <w:rsid w:val="3BFE5EEB"/>
    <w:rsid w:val="3BFEB33D"/>
    <w:rsid w:val="3BFEB851"/>
    <w:rsid w:val="3BFF068C"/>
    <w:rsid w:val="3BFF2B59"/>
    <w:rsid w:val="3BFF40F6"/>
    <w:rsid w:val="3BFF488B"/>
    <w:rsid w:val="3BFF8E44"/>
    <w:rsid w:val="3CDC719B"/>
    <w:rsid w:val="3CDC73E0"/>
    <w:rsid w:val="3CDDB756"/>
    <w:rsid w:val="3CE76282"/>
    <w:rsid w:val="3CEE2B36"/>
    <w:rsid w:val="3CF6179E"/>
    <w:rsid w:val="3D0203C4"/>
    <w:rsid w:val="3D2EBDF6"/>
    <w:rsid w:val="3D2FE142"/>
    <w:rsid w:val="3D3F1BBB"/>
    <w:rsid w:val="3D7B75A7"/>
    <w:rsid w:val="3D9F68A7"/>
    <w:rsid w:val="3DB77AAA"/>
    <w:rsid w:val="3DBF1E55"/>
    <w:rsid w:val="3DBF6C36"/>
    <w:rsid w:val="3DD709D9"/>
    <w:rsid w:val="3DDEF6E9"/>
    <w:rsid w:val="3DDF981F"/>
    <w:rsid w:val="3DE70BAA"/>
    <w:rsid w:val="3DEB4B70"/>
    <w:rsid w:val="3DEFD649"/>
    <w:rsid w:val="3DF38A1B"/>
    <w:rsid w:val="3DF7CB98"/>
    <w:rsid w:val="3DFD523C"/>
    <w:rsid w:val="3DFF312D"/>
    <w:rsid w:val="3DFFFEA9"/>
    <w:rsid w:val="3E394DD8"/>
    <w:rsid w:val="3E6FBE14"/>
    <w:rsid w:val="3E7D98B3"/>
    <w:rsid w:val="3E7E306D"/>
    <w:rsid w:val="3E9FD858"/>
    <w:rsid w:val="3EBF0331"/>
    <w:rsid w:val="3EBFEA39"/>
    <w:rsid w:val="3ED53570"/>
    <w:rsid w:val="3ED7F378"/>
    <w:rsid w:val="3EDC9559"/>
    <w:rsid w:val="3EDFA4D7"/>
    <w:rsid w:val="3EDFC646"/>
    <w:rsid w:val="3EE877A6"/>
    <w:rsid w:val="3EF56132"/>
    <w:rsid w:val="3EF7895C"/>
    <w:rsid w:val="3EF8251C"/>
    <w:rsid w:val="3EF9902A"/>
    <w:rsid w:val="3EFB269F"/>
    <w:rsid w:val="3EFF2103"/>
    <w:rsid w:val="3EFFF5F5"/>
    <w:rsid w:val="3F1CE206"/>
    <w:rsid w:val="3F5F5487"/>
    <w:rsid w:val="3F738DC4"/>
    <w:rsid w:val="3F7D2404"/>
    <w:rsid w:val="3F7D5FD6"/>
    <w:rsid w:val="3F7F5A93"/>
    <w:rsid w:val="3F82FA85"/>
    <w:rsid w:val="3F833287"/>
    <w:rsid w:val="3F9BC3B6"/>
    <w:rsid w:val="3FAB18E2"/>
    <w:rsid w:val="3FAF8DFE"/>
    <w:rsid w:val="3FB6E0D4"/>
    <w:rsid w:val="3FB700B6"/>
    <w:rsid w:val="3FBF05E3"/>
    <w:rsid w:val="3FBF2D39"/>
    <w:rsid w:val="3FBFC78F"/>
    <w:rsid w:val="3FC66DDC"/>
    <w:rsid w:val="3FC738D2"/>
    <w:rsid w:val="3FCA489B"/>
    <w:rsid w:val="3FCDFD3D"/>
    <w:rsid w:val="3FD227B9"/>
    <w:rsid w:val="3FD58A1D"/>
    <w:rsid w:val="3FD6AF94"/>
    <w:rsid w:val="3FD71A0C"/>
    <w:rsid w:val="3FD7E153"/>
    <w:rsid w:val="3FDE77AF"/>
    <w:rsid w:val="3FE6A83A"/>
    <w:rsid w:val="3FE9BD4B"/>
    <w:rsid w:val="3FEEAC7A"/>
    <w:rsid w:val="3FEF8793"/>
    <w:rsid w:val="3FEFBCC2"/>
    <w:rsid w:val="3FF734CA"/>
    <w:rsid w:val="3FF95D4E"/>
    <w:rsid w:val="3FFB15CD"/>
    <w:rsid w:val="3FFDEDD7"/>
    <w:rsid w:val="3FFE8FBD"/>
    <w:rsid w:val="3FFEA1E3"/>
    <w:rsid w:val="3FFF644D"/>
    <w:rsid w:val="3FFF8D6F"/>
    <w:rsid w:val="3FFFE686"/>
    <w:rsid w:val="408F1AE5"/>
    <w:rsid w:val="43377005"/>
    <w:rsid w:val="43D22D12"/>
    <w:rsid w:val="459F5A02"/>
    <w:rsid w:val="45C3524E"/>
    <w:rsid w:val="45C59983"/>
    <w:rsid w:val="45FE2E2C"/>
    <w:rsid w:val="46EB5030"/>
    <w:rsid w:val="471E9885"/>
    <w:rsid w:val="477D9E30"/>
    <w:rsid w:val="47BF72FE"/>
    <w:rsid w:val="47F7D8A9"/>
    <w:rsid w:val="47FF2CCC"/>
    <w:rsid w:val="47FF5ECD"/>
    <w:rsid w:val="493997C5"/>
    <w:rsid w:val="499A86C0"/>
    <w:rsid w:val="49DF1239"/>
    <w:rsid w:val="4AF71834"/>
    <w:rsid w:val="4B5DA76E"/>
    <w:rsid w:val="4BDBB280"/>
    <w:rsid w:val="4BF71071"/>
    <w:rsid w:val="4BFF02AB"/>
    <w:rsid w:val="4C7BA95C"/>
    <w:rsid w:val="4CDF54A3"/>
    <w:rsid w:val="4CF7A242"/>
    <w:rsid w:val="4CFF306C"/>
    <w:rsid w:val="4D05F334"/>
    <w:rsid w:val="4D335A93"/>
    <w:rsid w:val="4D3FEB86"/>
    <w:rsid w:val="4D6DC522"/>
    <w:rsid w:val="4D7FBDDA"/>
    <w:rsid w:val="4DCFF077"/>
    <w:rsid w:val="4DF9D1FF"/>
    <w:rsid w:val="4DFB954E"/>
    <w:rsid w:val="4DFD0980"/>
    <w:rsid w:val="4DFE35A7"/>
    <w:rsid w:val="4DFFB552"/>
    <w:rsid w:val="4E79AA4F"/>
    <w:rsid w:val="4E7E8C4C"/>
    <w:rsid w:val="4E8F8F6C"/>
    <w:rsid w:val="4EBFDA6B"/>
    <w:rsid w:val="4F591D07"/>
    <w:rsid w:val="4F6E77D6"/>
    <w:rsid w:val="4F7DFD07"/>
    <w:rsid w:val="4F7F88D6"/>
    <w:rsid w:val="4F7F8B34"/>
    <w:rsid w:val="4F9D76DB"/>
    <w:rsid w:val="4FD7BF49"/>
    <w:rsid w:val="4FDF2EC1"/>
    <w:rsid w:val="4FE6E417"/>
    <w:rsid w:val="4FE98038"/>
    <w:rsid w:val="4FEF0152"/>
    <w:rsid w:val="4FEF4326"/>
    <w:rsid w:val="4FF9ACF2"/>
    <w:rsid w:val="4FFE9A27"/>
    <w:rsid w:val="4FFF33C6"/>
    <w:rsid w:val="4FFF785E"/>
    <w:rsid w:val="4FFF7BA6"/>
    <w:rsid w:val="51B3156A"/>
    <w:rsid w:val="51BF224B"/>
    <w:rsid w:val="51FD8D00"/>
    <w:rsid w:val="51FFB36E"/>
    <w:rsid w:val="527EF4AC"/>
    <w:rsid w:val="52BFA9F0"/>
    <w:rsid w:val="52FD84B2"/>
    <w:rsid w:val="53454658"/>
    <w:rsid w:val="537E046E"/>
    <w:rsid w:val="5381AD96"/>
    <w:rsid w:val="53DFEA50"/>
    <w:rsid w:val="53F79A72"/>
    <w:rsid w:val="53FE836D"/>
    <w:rsid w:val="53FF71DB"/>
    <w:rsid w:val="54DB81DD"/>
    <w:rsid w:val="54ED902F"/>
    <w:rsid w:val="54EFC0CE"/>
    <w:rsid w:val="556FA287"/>
    <w:rsid w:val="55775E54"/>
    <w:rsid w:val="55B5C1E1"/>
    <w:rsid w:val="55B984EF"/>
    <w:rsid w:val="55BEC998"/>
    <w:rsid w:val="55F4376E"/>
    <w:rsid w:val="55FC4C8F"/>
    <w:rsid w:val="55FFBEF5"/>
    <w:rsid w:val="566F8160"/>
    <w:rsid w:val="569B57BE"/>
    <w:rsid w:val="569F3C8F"/>
    <w:rsid w:val="56BFD391"/>
    <w:rsid w:val="56F6904B"/>
    <w:rsid w:val="56FD7FE3"/>
    <w:rsid w:val="56FD9BFA"/>
    <w:rsid w:val="575F029F"/>
    <w:rsid w:val="576437CD"/>
    <w:rsid w:val="57774117"/>
    <w:rsid w:val="577782E6"/>
    <w:rsid w:val="57BF0982"/>
    <w:rsid w:val="57C90CAA"/>
    <w:rsid w:val="57CD4977"/>
    <w:rsid w:val="57CFD7B6"/>
    <w:rsid w:val="57EFDF46"/>
    <w:rsid w:val="57F56A41"/>
    <w:rsid w:val="57F9E35B"/>
    <w:rsid w:val="57FBBA96"/>
    <w:rsid w:val="57FC71FB"/>
    <w:rsid w:val="57FE8B58"/>
    <w:rsid w:val="59171F36"/>
    <w:rsid w:val="593F0282"/>
    <w:rsid w:val="59772595"/>
    <w:rsid w:val="59AB3C9D"/>
    <w:rsid w:val="59B9E7F1"/>
    <w:rsid w:val="59DF604C"/>
    <w:rsid w:val="59F6EC0C"/>
    <w:rsid w:val="59FE30D0"/>
    <w:rsid w:val="59FF6B61"/>
    <w:rsid w:val="5A7E5C74"/>
    <w:rsid w:val="5ABC132C"/>
    <w:rsid w:val="5ABF856A"/>
    <w:rsid w:val="5ACF86C7"/>
    <w:rsid w:val="5AE71085"/>
    <w:rsid w:val="5AED9C28"/>
    <w:rsid w:val="5B1BC6D9"/>
    <w:rsid w:val="5B366CB4"/>
    <w:rsid w:val="5B3E325D"/>
    <w:rsid w:val="5B494D92"/>
    <w:rsid w:val="5B6DBB41"/>
    <w:rsid w:val="5B7D3E27"/>
    <w:rsid w:val="5B7F232F"/>
    <w:rsid w:val="5BAE67B1"/>
    <w:rsid w:val="5BB3B0A1"/>
    <w:rsid w:val="5BB97116"/>
    <w:rsid w:val="5BBC951B"/>
    <w:rsid w:val="5BBD6839"/>
    <w:rsid w:val="5BDF23FF"/>
    <w:rsid w:val="5BE7A0F0"/>
    <w:rsid w:val="5BFD3482"/>
    <w:rsid w:val="5BFF1551"/>
    <w:rsid w:val="5BFF1806"/>
    <w:rsid w:val="5BFF1907"/>
    <w:rsid w:val="5BFF2F6D"/>
    <w:rsid w:val="5BFF8477"/>
    <w:rsid w:val="5BFF8C96"/>
    <w:rsid w:val="5BFF90B0"/>
    <w:rsid w:val="5BFFC69E"/>
    <w:rsid w:val="5BFFDD08"/>
    <w:rsid w:val="5BFFF320"/>
    <w:rsid w:val="5C6FDE55"/>
    <w:rsid w:val="5C7F4509"/>
    <w:rsid w:val="5CA36A35"/>
    <w:rsid w:val="5CDB78C8"/>
    <w:rsid w:val="5CDE0458"/>
    <w:rsid w:val="5CF3FED0"/>
    <w:rsid w:val="5CFB3C27"/>
    <w:rsid w:val="5CFF8409"/>
    <w:rsid w:val="5CFFE51B"/>
    <w:rsid w:val="5D377577"/>
    <w:rsid w:val="5D3A9D44"/>
    <w:rsid w:val="5D6C8DC7"/>
    <w:rsid w:val="5D757ED3"/>
    <w:rsid w:val="5D7F3D54"/>
    <w:rsid w:val="5D7F3E13"/>
    <w:rsid w:val="5DA5F9B3"/>
    <w:rsid w:val="5DAF8498"/>
    <w:rsid w:val="5DCF91FB"/>
    <w:rsid w:val="5DD72705"/>
    <w:rsid w:val="5DDF8256"/>
    <w:rsid w:val="5DDF83AF"/>
    <w:rsid w:val="5DEB9179"/>
    <w:rsid w:val="5DEDAFD7"/>
    <w:rsid w:val="5DF70E7A"/>
    <w:rsid w:val="5DFA98F2"/>
    <w:rsid w:val="5DFD51CB"/>
    <w:rsid w:val="5DFD8C7F"/>
    <w:rsid w:val="5DFFB56E"/>
    <w:rsid w:val="5DFFE409"/>
    <w:rsid w:val="5E1F72FF"/>
    <w:rsid w:val="5E2B73F0"/>
    <w:rsid w:val="5E3F6440"/>
    <w:rsid w:val="5E753217"/>
    <w:rsid w:val="5EAA71AF"/>
    <w:rsid w:val="5EBD947E"/>
    <w:rsid w:val="5EE6AE59"/>
    <w:rsid w:val="5EEF3243"/>
    <w:rsid w:val="5EF3E848"/>
    <w:rsid w:val="5EFB5D94"/>
    <w:rsid w:val="5EFF0F36"/>
    <w:rsid w:val="5EFF3690"/>
    <w:rsid w:val="5EFFF5E5"/>
    <w:rsid w:val="5F1C342D"/>
    <w:rsid w:val="5F1D1BFB"/>
    <w:rsid w:val="5F1F064D"/>
    <w:rsid w:val="5F2F1811"/>
    <w:rsid w:val="5F39B40D"/>
    <w:rsid w:val="5F3D83F5"/>
    <w:rsid w:val="5F3FB82B"/>
    <w:rsid w:val="5F55B636"/>
    <w:rsid w:val="5F561B74"/>
    <w:rsid w:val="5F5E4E77"/>
    <w:rsid w:val="5F6F6E5C"/>
    <w:rsid w:val="5F6FAFC8"/>
    <w:rsid w:val="5F7BBEFA"/>
    <w:rsid w:val="5F7C008A"/>
    <w:rsid w:val="5F7F0063"/>
    <w:rsid w:val="5F7F70C2"/>
    <w:rsid w:val="5F9FA9DA"/>
    <w:rsid w:val="5FA79977"/>
    <w:rsid w:val="5FB4AF4F"/>
    <w:rsid w:val="5FB76660"/>
    <w:rsid w:val="5FBB9561"/>
    <w:rsid w:val="5FBFB03A"/>
    <w:rsid w:val="5FC67AD7"/>
    <w:rsid w:val="5FC743E4"/>
    <w:rsid w:val="5FCAF527"/>
    <w:rsid w:val="5FCB2F0E"/>
    <w:rsid w:val="5FCEF241"/>
    <w:rsid w:val="5FD09A06"/>
    <w:rsid w:val="5FD20319"/>
    <w:rsid w:val="5FDB7A4F"/>
    <w:rsid w:val="5FDEB063"/>
    <w:rsid w:val="5FDF1576"/>
    <w:rsid w:val="5FDF6F6D"/>
    <w:rsid w:val="5FDFAA20"/>
    <w:rsid w:val="5FE5A015"/>
    <w:rsid w:val="5FE75474"/>
    <w:rsid w:val="5FEB1A01"/>
    <w:rsid w:val="5FEB355A"/>
    <w:rsid w:val="5FEECFAB"/>
    <w:rsid w:val="5FEF1843"/>
    <w:rsid w:val="5FEFC66E"/>
    <w:rsid w:val="5FF5B44D"/>
    <w:rsid w:val="5FF5FF4C"/>
    <w:rsid w:val="5FF6BD83"/>
    <w:rsid w:val="5FF7F121"/>
    <w:rsid w:val="5FF87CCB"/>
    <w:rsid w:val="5FFAA52D"/>
    <w:rsid w:val="5FFB1B2E"/>
    <w:rsid w:val="5FFB745E"/>
    <w:rsid w:val="5FFDDF3D"/>
    <w:rsid w:val="5FFF3127"/>
    <w:rsid w:val="5FFF73E3"/>
    <w:rsid w:val="5FFF78C3"/>
    <w:rsid w:val="5FFF7DBA"/>
    <w:rsid w:val="5FFFFDDF"/>
    <w:rsid w:val="60E874F6"/>
    <w:rsid w:val="61BBBC4E"/>
    <w:rsid w:val="61CEDB8B"/>
    <w:rsid w:val="61FC4312"/>
    <w:rsid w:val="61FE3C28"/>
    <w:rsid w:val="61FE47AB"/>
    <w:rsid w:val="62142F60"/>
    <w:rsid w:val="62CE5BAE"/>
    <w:rsid w:val="62D97094"/>
    <w:rsid w:val="6365A59E"/>
    <w:rsid w:val="636B45FB"/>
    <w:rsid w:val="637F2458"/>
    <w:rsid w:val="638F2372"/>
    <w:rsid w:val="63DF90D0"/>
    <w:rsid w:val="63DFB30C"/>
    <w:rsid w:val="63F737AF"/>
    <w:rsid w:val="63FF2E4D"/>
    <w:rsid w:val="647E0061"/>
    <w:rsid w:val="64FFFCC7"/>
    <w:rsid w:val="655F110A"/>
    <w:rsid w:val="667F31F4"/>
    <w:rsid w:val="66B67EC7"/>
    <w:rsid w:val="66D907BC"/>
    <w:rsid w:val="66F59C2B"/>
    <w:rsid w:val="66F603C5"/>
    <w:rsid w:val="66FA650F"/>
    <w:rsid w:val="66FE3819"/>
    <w:rsid w:val="66FF34EF"/>
    <w:rsid w:val="66FF4690"/>
    <w:rsid w:val="672401BC"/>
    <w:rsid w:val="673BB2A6"/>
    <w:rsid w:val="675FA4DF"/>
    <w:rsid w:val="677A58C8"/>
    <w:rsid w:val="677B6880"/>
    <w:rsid w:val="67ADA391"/>
    <w:rsid w:val="67BF4ADE"/>
    <w:rsid w:val="67C9A983"/>
    <w:rsid w:val="67DF6E88"/>
    <w:rsid w:val="67EEB2AF"/>
    <w:rsid w:val="67EF5733"/>
    <w:rsid w:val="67F1EF1E"/>
    <w:rsid w:val="67F9E81B"/>
    <w:rsid w:val="67FE658B"/>
    <w:rsid w:val="67FF4C6D"/>
    <w:rsid w:val="67FF58AC"/>
    <w:rsid w:val="68BB7266"/>
    <w:rsid w:val="69DF6421"/>
    <w:rsid w:val="69E68D6C"/>
    <w:rsid w:val="69FE2F52"/>
    <w:rsid w:val="6A57DC61"/>
    <w:rsid w:val="6A775D84"/>
    <w:rsid w:val="6AF70089"/>
    <w:rsid w:val="6AFDCECC"/>
    <w:rsid w:val="6B3CBB64"/>
    <w:rsid w:val="6B54139F"/>
    <w:rsid w:val="6B567FA6"/>
    <w:rsid w:val="6B652DA9"/>
    <w:rsid w:val="6B7B455C"/>
    <w:rsid w:val="6B7B8985"/>
    <w:rsid w:val="6B7D83B7"/>
    <w:rsid w:val="6B7F4D75"/>
    <w:rsid w:val="6B7F520B"/>
    <w:rsid w:val="6BBB3104"/>
    <w:rsid w:val="6BBDA2A4"/>
    <w:rsid w:val="6BC76F44"/>
    <w:rsid w:val="6BCFD130"/>
    <w:rsid w:val="6BCFE1FC"/>
    <w:rsid w:val="6BE0F7A4"/>
    <w:rsid w:val="6BEB9CA0"/>
    <w:rsid w:val="6BEFF338"/>
    <w:rsid w:val="6BF33AF8"/>
    <w:rsid w:val="6BFB246A"/>
    <w:rsid w:val="6C770829"/>
    <w:rsid w:val="6CDF68F8"/>
    <w:rsid w:val="6CDFA5F8"/>
    <w:rsid w:val="6CF4C9C2"/>
    <w:rsid w:val="6CF64AB5"/>
    <w:rsid w:val="6CFF5A1A"/>
    <w:rsid w:val="6D2DEA1F"/>
    <w:rsid w:val="6D73FD1E"/>
    <w:rsid w:val="6D75B273"/>
    <w:rsid w:val="6D7EFB41"/>
    <w:rsid w:val="6DA6BDEE"/>
    <w:rsid w:val="6DAFF007"/>
    <w:rsid w:val="6DBA340A"/>
    <w:rsid w:val="6DBF92D3"/>
    <w:rsid w:val="6DC214C1"/>
    <w:rsid w:val="6DCF9C9E"/>
    <w:rsid w:val="6DD79170"/>
    <w:rsid w:val="6DD7A24E"/>
    <w:rsid w:val="6DDFF45F"/>
    <w:rsid w:val="6DED3646"/>
    <w:rsid w:val="6DED5406"/>
    <w:rsid w:val="6DEDF29D"/>
    <w:rsid w:val="6DFBE194"/>
    <w:rsid w:val="6DFD8CCE"/>
    <w:rsid w:val="6DFE68FE"/>
    <w:rsid w:val="6DFEFB85"/>
    <w:rsid w:val="6DFF34BE"/>
    <w:rsid w:val="6DFF4E94"/>
    <w:rsid w:val="6E3A5792"/>
    <w:rsid w:val="6E3BA91D"/>
    <w:rsid w:val="6E69E804"/>
    <w:rsid w:val="6E758122"/>
    <w:rsid w:val="6E7F92FD"/>
    <w:rsid w:val="6E7FEEA5"/>
    <w:rsid w:val="6E8765B4"/>
    <w:rsid w:val="6E975990"/>
    <w:rsid w:val="6EB743BE"/>
    <w:rsid w:val="6EB7B1EA"/>
    <w:rsid w:val="6EBDFB1D"/>
    <w:rsid w:val="6EBF1F62"/>
    <w:rsid w:val="6EBFBF21"/>
    <w:rsid w:val="6ED92E21"/>
    <w:rsid w:val="6EE559D2"/>
    <w:rsid w:val="6EEB9F9E"/>
    <w:rsid w:val="6EEDDB22"/>
    <w:rsid w:val="6EEE0D0A"/>
    <w:rsid w:val="6EF69834"/>
    <w:rsid w:val="6EFDB815"/>
    <w:rsid w:val="6EFF3803"/>
    <w:rsid w:val="6EFF58F6"/>
    <w:rsid w:val="6EFFA02F"/>
    <w:rsid w:val="6EFFF5AA"/>
    <w:rsid w:val="6EFFFEC9"/>
    <w:rsid w:val="6F36B0A8"/>
    <w:rsid w:val="6F371874"/>
    <w:rsid w:val="6F37F168"/>
    <w:rsid w:val="6F4B00D3"/>
    <w:rsid w:val="6F6FF09F"/>
    <w:rsid w:val="6F752E00"/>
    <w:rsid w:val="6F76E4CD"/>
    <w:rsid w:val="6F7A55E1"/>
    <w:rsid w:val="6F7A6005"/>
    <w:rsid w:val="6F7B044D"/>
    <w:rsid w:val="6F7EA13D"/>
    <w:rsid w:val="6F7EB36D"/>
    <w:rsid w:val="6F7F0967"/>
    <w:rsid w:val="6F7F33BA"/>
    <w:rsid w:val="6F7F3E86"/>
    <w:rsid w:val="6F7F7942"/>
    <w:rsid w:val="6F7FC5B9"/>
    <w:rsid w:val="6F8FBE7F"/>
    <w:rsid w:val="6F96D6FE"/>
    <w:rsid w:val="6F97837C"/>
    <w:rsid w:val="6F9F965D"/>
    <w:rsid w:val="6FAEFEF8"/>
    <w:rsid w:val="6FB7403A"/>
    <w:rsid w:val="6FB8A556"/>
    <w:rsid w:val="6FBBDCC4"/>
    <w:rsid w:val="6FBD5567"/>
    <w:rsid w:val="6FBECFED"/>
    <w:rsid w:val="6FBEE34E"/>
    <w:rsid w:val="6FBF5BD3"/>
    <w:rsid w:val="6FBFF31F"/>
    <w:rsid w:val="6FC7684D"/>
    <w:rsid w:val="6FC76E52"/>
    <w:rsid w:val="6FCAD9C1"/>
    <w:rsid w:val="6FCCAB69"/>
    <w:rsid w:val="6FD763CE"/>
    <w:rsid w:val="6FDBC1DA"/>
    <w:rsid w:val="6FDBCE4A"/>
    <w:rsid w:val="6FDD2485"/>
    <w:rsid w:val="6FDDA521"/>
    <w:rsid w:val="6FDDEC8E"/>
    <w:rsid w:val="6FDF86D0"/>
    <w:rsid w:val="6FDFAD7B"/>
    <w:rsid w:val="6FE3F727"/>
    <w:rsid w:val="6FE74C19"/>
    <w:rsid w:val="6FE7CDBB"/>
    <w:rsid w:val="6FEAA687"/>
    <w:rsid w:val="6FEE37A3"/>
    <w:rsid w:val="6FF24980"/>
    <w:rsid w:val="6FF80CEB"/>
    <w:rsid w:val="6FFB2A8A"/>
    <w:rsid w:val="6FFB3A85"/>
    <w:rsid w:val="6FFBBF57"/>
    <w:rsid w:val="6FFD8FA4"/>
    <w:rsid w:val="6FFDB3B8"/>
    <w:rsid w:val="6FFE471D"/>
    <w:rsid w:val="6FFED945"/>
    <w:rsid w:val="6FFF0C67"/>
    <w:rsid w:val="6FFF1718"/>
    <w:rsid w:val="6FFF6DDB"/>
    <w:rsid w:val="6FFF7259"/>
    <w:rsid w:val="6FFF8303"/>
    <w:rsid w:val="6FFF88D2"/>
    <w:rsid w:val="6FFF9875"/>
    <w:rsid w:val="6FFFC0A0"/>
    <w:rsid w:val="6FFFEB6F"/>
    <w:rsid w:val="703FE86E"/>
    <w:rsid w:val="70B77CB6"/>
    <w:rsid w:val="70CD3CC9"/>
    <w:rsid w:val="70F8B49A"/>
    <w:rsid w:val="711F6B54"/>
    <w:rsid w:val="7125088E"/>
    <w:rsid w:val="71CDC18B"/>
    <w:rsid w:val="71CF6E22"/>
    <w:rsid w:val="71D60059"/>
    <w:rsid w:val="71D6AF0D"/>
    <w:rsid w:val="71FDDE0C"/>
    <w:rsid w:val="71FE9ECB"/>
    <w:rsid w:val="723FE306"/>
    <w:rsid w:val="7259603A"/>
    <w:rsid w:val="727F2277"/>
    <w:rsid w:val="72F5146C"/>
    <w:rsid w:val="733F1D4C"/>
    <w:rsid w:val="7369D8FD"/>
    <w:rsid w:val="736B317C"/>
    <w:rsid w:val="736E46C9"/>
    <w:rsid w:val="737E7EFC"/>
    <w:rsid w:val="737ED5AF"/>
    <w:rsid w:val="739F0FC0"/>
    <w:rsid w:val="73A5B96B"/>
    <w:rsid w:val="73B4ED9B"/>
    <w:rsid w:val="73BF258C"/>
    <w:rsid w:val="73C78FC9"/>
    <w:rsid w:val="73CA47AA"/>
    <w:rsid w:val="73CF5E2E"/>
    <w:rsid w:val="73DD353C"/>
    <w:rsid w:val="73DFB308"/>
    <w:rsid w:val="73EE4CED"/>
    <w:rsid w:val="73F008CB"/>
    <w:rsid w:val="73F7EF5E"/>
    <w:rsid w:val="73FB0283"/>
    <w:rsid w:val="73FE7656"/>
    <w:rsid w:val="73FF9B17"/>
    <w:rsid w:val="746FAE20"/>
    <w:rsid w:val="747F9D87"/>
    <w:rsid w:val="74AF12CD"/>
    <w:rsid w:val="74D92B44"/>
    <w:rsid w:val="7517A647"/>
    <w:rsid w:val="7532568B"/>
    <w:rsid w:val="75370F99"/>
    <w:rsid w:val="75463E27"/>
    <w:rsid w:val="75748350"/>
    <w:rsid w:val="7576432E"/>
    <w:rsid w:val="75791E1B"/>
    <w:rsid w:val="757EFC2A"/>
    <w:rsid w:val="757F2A05"/>
    <w:rsid w:val="75AA8078"/>
    <w:rsid w:val="75B9212E"/>
    <w:rsid w:val="75CD2053"/>
    <w:rsid w:val="75CE6E43"/>
    <w:rsid w:val="75D6CFB6"/>
    <w:rsid w:val="75E7C0BF"/>
    <w:rsid w:val="75EDAE96"/>
    <w:rsid w:val="75EF7D7A"/>
    <w:rsid w:val="75EFE26E"/>
    <w:rsid w:val="75F7F1E4"/>
    <w:rsid w:val="75FB2238"/>
    <w:rsid w:val="75FB54DE"/>
    <w:rsid w:val="75FD4381"/>
    <w:rsid w:val="75FDF7AE"/>
    <w:rsid w:val="75FECB46"/>
    <w:rsid w:val="75FF50D4"/>
    <w:rsid w:val="75FF95D6"/>
    <w:rsid w:val="763BA32E"/>
    <w:rsid w:val="764FAA88"/>
    <w:rsid w:val="768BF328"/>
    <w:rsid w:val="76A76FC2"/>
    <w:rsid w:val="76A776B6"/>
    <w:rsid w:val="76ED2586"/>
    <w:rsid w:val="76EEBDE5"/>
    <w:rsid w:val="76EF68B1"/>
    <w:rsid w:val="76F72D3D"/>
    <w:rsid w:val="76FE3284"/>
    <w:rsid w:val="76FF21C2"/>
    <w:rsid w:val="76FFC795"/>
    <w:rsid w:val="77210FBE"/>
    <w:rsid w:val="773E4B7F"/>
    <w:rsid w:val="774CCE2A"/>
    <w:rsid w:val="774D50A6"/>
    <w:rsid w:val="7759A62D"/>
    <w:rsid w:val="775F71F2"/>
    <w:rsid w:val="7767D6E3"/>
    <w:rsid w:val="776D8B13"/>
    <w:rsid w:val="776F0FE3"/>
    <w:rsid w:val="776F4C8B"/>
    <w:rsid w:val="777BA734"/>
    <w:rsid w:val="777EAA66"/>
    <w:rsid w:val="777EC40F"/>
    <w:rsid w:val="777F7808"/>
    <w:rsid w:val="779468FC"/>
    <w:rsid w:val="7795F423"/>
    <w:rsid w:val="77BB664E"/>
    <w:rsid w:val="77BDE123"/>
    <w:rsid w:val="77BE3636"/>
    <w:rsid w:val="77BE5E77"/>
    <w:rsid w:val="77BF17E3"/>
    <w:rsid w:val="77BFAC72"/>
    <w:rsid w:val="77BFB1EB"/>
    <w:rsid w:val="77C20235"/>
    <w:rsid w:val="77C357C3"/>
    <w:rsid w:val="77C71E1E"/>
    <w:rsid w:val="77CFF469"/>
    <w:rsid w:val="77D64D81"/>
    <w:rsid w:val="77D79B66"/>
    <w:rsid w:val="77DC4112"/>
    <w:rsid w:val="77E5C102"/>
    <w:rsid w:val="77E7235D"/>
    <w:rsid w:val="77E7C530"/>
    <w:rsid w:val="77EE9FF6"/>
    <w:rsid w:val="77F1B2B9"/>
    <w:rsid w:val="77F76585"/>
    <w:rsid w:val="77F975BD"/>
    <w:rsid w:val="77FA70DE"/>
    <w:rsid w:val="77FD6CAE"/>
    <w:rsid w:val="77FE24E3"/>
    <w:rsid w:val="77FF0DBA"/>
    <w:rsid w:val="77FF14C9"/>
    <w:rsid w:val="77FF6251"/>
    <w:rsid w:val="77FFECB6"/>
    <w:rsid w:val="787BA9C0"/>
    <w:rsid w:val="78B3897F"/>
    <w:rsid w:val="78BF29D5"/>
    <w:rsid w:val="78DB513E"/>
    <w:rsid w:val="78FBD3A7"/>
    <w:rsid w:val="78FF42E9"/>
    <w:rsid w:val="78FFDF72"/>
    <w:rsid w:val="793F36FB"/>
    <w:rsid w:val="796F6B83"/>
    <w:rsid w:val="79762102"/>
    <w:rsid w:val="797E411F"/>
    <w:rsid w:val="79874ADC"/>
    <w:rsid w:val="799E1562"/>
    <w:rsid w:val="79B5D51D"/>
    <w:rsid w:val="79BDC3B2"/>
    <w:rsid w:val="79BE2319"/>
    <w:rsid w:val="79CD4816"/>
    <w:rsid w:val="79CF44A7"/>
    <w:rsid w:val="79DB4115"/>
    <w:rsid w:val="79DF1B8F"/>
    <w:rsid w:val="79FE882D"/>
    <w:rsid w:val="79FF2C4A"/>
    <w:rsid w:val="79FF651D"/>
    <w:rsid w:val="79FFF541"/>
    <w:rsid w:val="7A2F17A3"/>
    <w:rsid w:val="7A767B24"/>
    <w:rsid w:val="7A7AF7F8"/>
    <w:rsid w:val="7A7D9D96"/>
    <w:rsid w:val="7ABA84DC"/>
    <w:rsid w:val="7ABA8AB9"/>
    <w:rsid w:val="7ABFA5AF"/>
    <w:rsid w:val="7AC51C3F"/>
    <w:rsid w:val="7ACDDBF2"/>
    <w:rsid w:val="7AF71058"/>
    <w:rsid w:val="7AF74854"/>
    <w:rsid w:val="7AF7D658"/>
    <w:rsid w:val="7AFB2018"/>
    <w:rsid w:val="7AFBB972"/>
    <w:rsid w:val="7AFD15F6"/>
    <w:rsid w:val="7AFDA3BF"/>
    <w:rsid w:val="7AFE1F9E"/>
    <w:rsid w:val="7AFE681D"/>
    <w:rsid w:val="7AFF0CE9"/>
    <w:rsid w:val="7AFFAD43"/>
    <w:rsid w:val="7B18BAD9"/>
    <w:rsid w:val="7B3DD088"/>
    <w:rsid w:val="7B5B7067"/>
    <w:rsid w:val="7B6E5B75"/>
    <w:rsid w:val="7B721D04"/>
    <w:rsid w:val="7B76ED35"/>
    <w:rsid w:val="7B771D20"/>
    <w:rsid w:val="7B77FCC7"/>
    <w:rsid w:val="7B7816B3"/>
    <w:rsid w:val="7B788AE0"/>
    <w:rsid w:val="7B7D0E00"/>
    <w:rsid w:val="7B7F0AA6"/>
    <w:rsid w:val="7B7FE02C"/>
    <w:rsid w:val="7B7FF361"/>
    <w:rsid w:val="7B8D7BFA"/>
    <w:rsid w:val="7B8D9E74"/>
    <w:rsid w:val="7B94FC94"/>
    <w:rsid w:val="7B9B74EC"/>
    <w:rsid w:val="7B9FFF4E"/>
    <w:rsid w:val="7BAB5FDD"/>
    <w:rsid w:val="7BAD8443"/>
    <w:rsid w:val="7BADD98C"/>
    <w:rsid w:val="7BAFA735"/>
    <w:rsid w:val="7BB3E5A0"/>
    <w:rsid w:val="7BBD26CA"/>
    <w:rsid w:val="7BBD53BA"/>
    <w:rsid w:val="7BBF1120"/>
    <w:rsid w:val="7BBF5C8D"/>
    <w:rsid w:val="7BBF772E"/>
    <w:rsid w:val="7BBF81C4"/>
    <w:rsid w:val="7BBFF3D5"/>
    <w:rsid w:val="7BD5BBC7"/>
    <w:rsid w:val="7BD7AF2C"/>
    <w:rsid w:val="7BD969EB"/>
    <w:rsid w:val="7BDBCE0F"/>
    <w:rsid w:val="7BDF698E"/>
    <w:rsid w:val="7BDFF19D"/>
    <w:rsid w:val="7BE6477D"/>
    <w:rsid w:val="7BEF00DF"/>
    <w:rsid w:val="7BEF56B3"/>
    <w:rsid w:val="7BF12D16"/>
    <w:rsid w:val="7BF72284"/>
    <w:rsid w:val="7BF7F7DB"/>
    <w:rsid w:val="7BF81F3B"/>
    <w:rsid w:val="7BFB18D1"/>
    <w:rsid w:val="7BFB9572"/>
    <w:rsid w:val="7BFC9F81"/>
    <w:rsid w:val="7BFD4300"/>
    <w:rsid w:val="7BFD89FF"/>
    <w:rsid w:val="7BFDFD8E"/>
    <w:rsid w:val="7BFF06C0"/>
    <w:rsid w:val="7BFF0FC7"/>
    <w:rsid w:val="7BFF2BF9"/>
    <w:rsid w:val="7BFF5947"/>
    <w:rsid w:val="7BFF7A94"/>
    <w:rsid w:val="7BFFAFFC"/>
    <w:rsid w:val="7BFFDA2D"/>
    <w:rsid w:val="7BFFDF37"/>
    <w:rsid w:val="7C232BAE"/>
    <w:rsid w:val="7C378514"/>
    <w:rsid w:val="7C5DCC87"/>
    <w:rsid w:val="7C7BFD16"/>
    <w:rsid w:val="7C9EF062"/>
    <w:rsid w:val="7CAB0047"/>
    <w:rsid w:val="7CAE4368"/>
    <w:rsid w:val="7CBF4C35"/>
    <w:rsid w:val="7CC7241B"/>
    <w:rsid w:val="7CC98611"/>
    <w:rsid w:val="7CCEDBA5"/>
    <w:rsid w:val="7CD3CB0D"/>
    <w:rsid w:val="7CDF7AD2"/>
    <w:rsid w:val="7CEB21C8"/>
    <w:rsid w:val="7CED2520"/>
    <w:rsid w:val="7CEF634D"/>
    <w:rsid w:val="7CEF9B5D"/>
    <w:rsid w:val="7CEFE120"/>
    <w:rsid w:val="7CF743C5"/>
    <w:rsid w:val="7CF7A01B"/>
    <w:rsid w:val="7CFAD961"/>
    <w:rsid w:val="7CFB8038"/>
    <w:rsid w:val="7CFBA1B7"/>
    <w:rsid w:val="7CFD65E3"/>
    <w:rsid w:val="7CFED343"/>
    <w:rsid w:val="7CFF8ECE"/>
    <w:rsid w:val="7CFF9378"/>
    <w:rsid w:val="7CFFE022"/>
    <w:rsid w:val="7D1798C7"/>
    <w:rsid w:val="7D19D9CB"/>
    <w:rsid w:val="7D2BA4CB"/>
    <w:rsid w:val="7D2DB8A2"/>
    <w:rsid w:val="7D36870C"/>
    <w:rsid w:val="7D3BE915"/>
    <w:rsid w:val="7D3D6E34"/>
    <w:rsid w:val="7D3D97B1"/>
    <w:rsid w:val="7D3FF5EB"/>
    <w:rsid w:val="7D51BC93"/>
    <w:rsid w:val="7D572E9A"/>
    <w:rsid w:val="7D5FC921"/>
    <w:rsid w:val="7D67AF33"/>
    <w:rsid w:val="7D72B8E7"/>
    <w:rsid w:val="7D7D12D3"/>
    <w:rsid w:val="7D7D330A"/>
    <w:rsid w:val="7D7F29B7"/>
    <w:rsid w:val="7D7F61E8"/>
    <w:rsid w:val="7D7F9832"/>
    <w:rsid w:val="7D9FE011"/>
    <w:rsid w:val="7DA30FE8"/>
    <w:rsid w:val="7DAD016F"/>
    <w:rsid w:val="7DB508EB"/>
    <w:rsid w:val="7DBD2E29"/>
    <w:rsid w:val="7DBE9D52"/>
    <w:rsid w:val="7DBF9D36"/>
    <w:rsid w:val="7DBFB01E"/>
    <w:rsid w:val="7DD29376"/>
    <w:rsid w:val="7DD750E7"/>
    <w:rsid w:val="7DDA265F"/>
    <w:rsid w:val="7DDB1654"/>
    <w:rsid w:val="7DDE9076"/>
    <w:rsid w:val="7DDFB9F5"/>
    <w:rsid w:val="7DE7E81C"/>
    <w:rsid w:val="7DEA4C6B"/>
    <w:rsid w:val="7DEAFBC8"/>
    <w:rsid w:val="7DEC0E2D"/>
    <w:rsid w:val="7DEF009E"/>
    <w:rsid w:val="7DEF45F3"/>
    <w:rsid w:val="7DF3CFDA"/>
    <w:rsid w:val="7DF5F82B"/>
    <w:rsid w:val="7DF99C20"/>
    <w:rsid w:val="7DF9B1C6"/>
    <w:rsid w:val="7DFA988C"/>
    <w:rsid w:val="7DFB5430"/>
    <w:rsid w:val="7DFBC912"/>
    <w:rsid w:val="7DFC3B4B"/>
    <w:rsid w:val="7DFD0BA5"/>
    <w:rsid w:val="7DFD69AF"/>
    <w:rsid w:val="7DFDD296"/>
    <w:rsid w:val="7DFE5C56"/>
    <w:rsid w:val="7DFF3F15"/>
    <w:rsid w:val="7DFF66E1"/>
    <w:rsid w:val="7E33F739"/>
    <w:rsid w:val="7E5B3CDF"/>
    <w:rsid w:val="7E5B7192"/>
    <w:rsid w:val="7E5E480A"/>
    <w:rsid w:val="7E63E726"/>
    <w:rsid w:val="7E6A1C40"/>
    <w:rsid w:val="7E6FD002"/>
    <w:rsid w:val="7E77F048"/>
    <w:rsid w:val="7E7807AD"/>
    <w:rsid w:val="7E7AB804"/>
    <w:rsid w:val="7E7E563A"/>
    <w:rsid w:val="7E7F3EDB"/>
    <w:rsid w:val="7E7FC6B8"/>
    <w:rsid w:val="7E8A6C8E"/>
    <w:rsid w:val="7E9F5AFA"/>
    <w:rsid w:val="7EA84E63"/>
    <w:rsid w:val="7EAD5179"/>
    <w:rsid w:val="7EAEE117"/>
    <w:rsid w:val="7EAEF64E"/>
    <w:rsid w:val="7EAFDBEC"/>
    <w:rsid w:val="7EB65E48"/>
    <w:rsid w:val="7EB74B41"/>
    <w:rsid w:val="7EBA207E"/>
    <w:rsid w:val="7EBFD2DE"/>
    <w:rsid w:val="7EBFEB9E"/>
    <w:rsid w:val="7ECBFFA2"/>
    <w:rsid w:val="7ECF3FA5"/>
    <w:rsid w:val="7ED5CD4B"/>
    <w:rsid w:val="7ED759F3"/>
    <w:rsid w:val="7EDBD0C4"/>
    <w:rsid w:val="7EEC3768"/>
    <w:rsid w:val="7EEEA5CF"/>
    <w:rsid w:val="7EEF1D9F"/>
    <w:rsid w:val="7EEF2CAF"/>
    <w:rsid w:val="7EEFFEFE"/>
    <w:rsid w:val="7EF3A1C0"/>
    <w:rsid w:val="7EF524CF"/>
    <w:rsid w:val="7EF7426E"/>
    <w:rsid w:val="7EFB28CF"/>
    <w:rsid w:val="7EFB4647"/>
    <w:rsid w:val="7EFBCC8B"/>
    <w:rsid w:val="7EFD3490"/>
    <w:rsid w:val="7EFD5AB1"/>
    <w:rsid w:val="7EFD68E2"/>
    <w:rsid w:val="7EFDF4F4"/>
    <w:rsid w:val="7EFEB003"/>
    <w:rsid w:val="7EFF2C8B"/>
    <w:rsid w:val="7EFF7699"/>
    <w:rsid w:val="7EFF88F5"/>
    <w:rsid w:val="7EFF9798"/>
    <w:rsid w:val="7EFFCECC"/>
    <w:rsid w:val="7F09CBEB"/>
    <w:rsid w:val="7F15DCFF"/>
    <w:rsid w:val="7F2BC7A1"/>
    <w:rsid w:val="7F374732"/>
    <w:rsid w:val="7F3965F2"/>
    <w:rsid w:val="7F3A3C03"/>
    <w:rsid w:val="7F3EE5E2"/>
    <w:rsid w:val="7F3F732E"/>
    <w:rsid w:val="7F3F9D49"/>
    <w:rsid w:val="7F45F89B"/>
    <w:rsid w:val="7F515B67"/>
    <w:rsid w:val="7F573BE2"/>
    <w:rsid w:val="7F57D89F"/>
    <w:rsid w:val="7F5B3ED7"/>
    <w:rsid w:val="7F5B71CA"/>
    <w:rsid w:val="7F5B8A77"/>
    <w:rsid w:val="7F5D2E43"/>
    <w:rsid w:val="7F5F6574"/>
    <w:rsid w:val="7F5F9193"/>
    <w:rsid w:val="7F5FB972"/>
    <w:rsid w:val="7F67DEA2"/>
    <w:rsid w:val="7F67E5CA"/>
    <w:rsid w:val="7F69A7B3"/>
    <w:rsid w:val="7F6B96BD"/>
    <w:rsid w:val="7F6BC9EF"/>
    <w:rsid w:val="7F6F240E"/>
    <w:rsid w:val="7F731F83"/>
    <w:rsid w:val="7F73A0D3"/>
    <w:rsid w:val="7F754ED1"/>
    <w:rsid w:val="7F7564EC"/>
    <w:rsid w:val="7F7710D9"/>
    <w:rsid w:val="7F7A0E11"/>
    <w:rsid w:val="7F7AF40E"/>
    <w:rsid w:val="7F7BC1E0"/>
    <w:rsid w:val="7F7BE2BE"/>
    <w:rsid w:val="7F7CEB04"/>
    <w:rsid w:val="7F7D2CE0"/>
    <w:rsid w:val="7F7D2FB3"/>
    <w:rsid w:val="7F7DC4EC"/>
    <w:rsid w:val="7F7DC9C9"/>
    <w:rsid w:val="7F7E6621"/>
    <w:rsid w:val="7F7EBF4D"/>
    <w:rsid w:val="7F7EE7B5"/>
    <w:rsid w:val="7F7EF222"/>
    <w:rsid w:val="7F7F0BA0"/>
    <w:rsid w:val="7F7F3665"/>
    <w:rsid w:val="7F7FB496"/>
    <w:rsid w:val="7F7FF71D"/>
    <w:rsid w:val="7F7FFAF3"/>
    <w:rsid w:val="7F8708CF"/>
    <w:rsid w:val="7F95DE4B"/>
    <w:rsid w:val="7F960644"/>
    <w:rsid w:val="7F9771C3"/>
    <w:rsid w:val="7F97CD9E"/>
    <w:rsid w:val="7F9B9B15"/>
    <w:rsid w:val="7F9F1E65"/>
    <w:rsid w:val="7FAD40A7"/>
    <w:rsid w:val="7FAEDF4E"/>
    <w:rsid w:val="7FAF4678"/>
    <w:rsid w:val="7FB72354"/>
    <w:rsid w:val="7FB72871"/>
    <w:rsid w:val="7FB79362"/>
    <w:rsid w:val="7FB7E409"/>
    <w:rsid w:val="7FBA37AE"/>
    <w:rsid w:val="7FBB5462"/>
    <w:rsid w:val="7FBC4D86"/>
    <w:rsid w:val="7FBC6BB5"/>
    <w:rsid w:val="7FBD3144"/>
    <w:rsid w:val="7FBEB230"/>
    <w:rsid w:val="7FBEF885"/>
    <w:rsid w:val="7FBF2F3D"/>
    <w:rsid w:val="7FBF3595"/>
    <w:rsid w:val="7FBF730A"/>
    <w:rsid w:val="7FBF9546"/>
    <w:rsid w:val="7FBF9C8A"/>
    <w:rsid w:val="7FBFA51B"/>
    <w:rsid w:val="7FBFDF99"/>
    <w:rsid w:val="7FBFFF53"/>
    <w:rsid w:val="7FC6385E"/>
    <w:rsid w:val="7FC766E4"/>
    <w:rsid w:val="7FC7FF3F"/>
    <w:rsid w:val="7FC90A68"/>
    <w:rsid w:val="7FCA9743"/>
    <w:rsid w:val="7FCDC61C"/>
    <w:rsid w:val="7FD6CB0B"/>
    <w:rsid w:val="7FD70F2D"/>
    <w:rsid w:val="7FD7A2FE"/>
    <w:rsid w:val="7FD9CD1D"/>
    <w:rsid w:val="7FDB86ED"/>
    <w:rsid w:val="7FDBDA15"/>
    <w:rsid w:val="7FDBDC4E"/>
    <w:rsid w:val="7FDBE278"/>
    <w:rsid w:val="7FDD15B8"/>
    <w:rsid w:val="7FDDECEE"/>
    <w:rsid w:val="7FDDF876"/>
    <w:rsid w:val="7FDE4731"/>
    <w:rsid w:val="7FDE54AF"/>
    <w:rsid w:val="7FDE8F38"/>
    <w:rsid w:val="7FDEB1D8"/>
    <w:rsid w:val="7FDED2C7"/>
    <w:rsid w:val="7FDF213C"/>
    <w:rsid w:val="7FDF7EFF"/>
    <w:rsid w:val="7FDFB298"/>
    <w:rsid w:val="7FDFBA48"/>
    <w:rsid w:val="7FDFFDED"/>
    <w:rsid w:val="7FE0E34C"/>
    <w:rsid w:val="7FE7F034"/>
    <w:rsid w:val="7FE90F5D"/>
    <w:rsid w:val="7FEA1CA3"/>
    <w:rsid w:val="7FEAF14C"/>
    <w:rsid w:val="7FEB330A"/>
    <w:rsid w:val="7FEB507E"/>
    <w:rsid w:val="7FEB590F"/>
    <w:rsid w:val="7FEE0C41"/>
    <w:rsid w:val="7FEE6601"/>
    <w:rsid w:val="7FEEF694"/>
    <w:rsid w:val="7FEFBFE8"/>
    <w:rsid w:val="7FEFC175"/>
    <w:rsid w:val="7FEFD837"/>
    <w:rsid w:val="7FEFDD64"/>
    <w:rsid w:val="7FEFE388"/>
    <w:rsid w:val="7FF1386D"/>
    <w:rsid w:val="7FF2D5FF"/>
    <w:rsid w:val="7FF378DF"/>
    <w:rsid w:val="7FF495FB"/>
    <w:rsid w:val="7FF50982"/>
    <w:rsid w:val="7FF63B6E"/>
    <w:rsid w:val="7FF65FD4"/>
    <w:rsid w:val="7FF6D356"/>
    <w:rsid w:val="7FF702FB"/>
    <w:rsid w:val="7FF70400"/>
    <w:rsid w:val="7FF7284F"/>
    <w:rsid w:val="7FF732A1"/>
    <w:rsid w:val="7FF76455"/>
    <w:rsid w:val="7FF76D94"/>
    <w:rsid w:val="7FF77375"/>
    <w:rsid w:val="7FF7C4A5"/>
    <w:rsid w:val="7FF7F79E"/>
    <w:rsid w:val="7FF956B3"/>
    <w:rsid w:val="7FF989DC"/>
    <w:rsid w:val="7FF9F90E"/>
    <w:rsid w:val="7FFA1EEF"/>
    <w:rsid w:val="7FFA8344"/>
    <w:rsid w:val="7FFA9290"/>
    <w:rsid w:val="7FFBA3C8"/>
    <w:rsid w:val="7FFBB6A9"/>
    <w:rsid w:val="7FFBB79C"/>
    <w:rsid w:val="7FFC5051"/>
    <w:rsid w:val="7FFCC2A1"/>
    <w:rsid w:val="7FFD0F7E"/>
    <w:rsid w:val="7FFD1F25"/>
    <w:rsid w:val="7FFD2A29"/>
    <w:rsid w:val="7FFD54BB"/>
    <w:rsid w:val="7FFD68DE"/>
    <w:rsid w:val="7FFD746E"/>
    <w:rsid w:val="7FFD85B5"/>
    <w:rsid w:val="7FFDC433"/>
    <w:rsid w:val="7FFDDD4F"/>
    <w:rsid w:val="7FFDE545"/>
    <w:rsid w:val="7FFE4DE4"/>
    <w:rsid w:val="7FFE64E1"/>
    <w:rsid w:val="7FFE6A94"/>
    <w:rsid w:val="7FFE6E0E"/>
    <w:rsid w:val="7FFE9E8A"/>
    <w:rsid w:val="7FFF0AB8"/>
    <w:rsid w:val="7FFF0ABD"/>
    <w:rsid w:val="7FFF1C5B"/>
    <w:rsid w:val="7FFF1E5C"/>
    <w:rsid w:val="7FFF293F"/>
    <w:rsid w:val="7FFF2FCF"/>
    <w:rsid w:val="7FFF31A4"/>
    <w:rsid w:val="7FFF4FAA"/>
    <w:rsid w:val="7FFF6CEE"/>
    <w:rsid w:val="7FFF8886"/>
    <w:rsid w:val="7FFF9D78"/>
    <w:rsid w:val="7FFFB9E2"/>
    <w:rsid w:val="7FFFC794"/>
    <w:rsid w:val="7FFFEA21"/>
    <w:rsid w:val="7FFFEA3A"/>
    <w:rsid w:val="7FFFF8EC"/>
    <w:rsid w:val="7FFFFFC8"/>
    <w:rsid w:val="83F70D09"/>
    <w:rsid w:val="84E75428"/>
    <w:rsid w:val="85D4106B"/>
    <w:rsid w:val="875D7976"/>
    <w:rsid w:val="87A6B0EA"/>
    <w:rsid w:val="87B97016"/>
    <w:rsid w:val="896ED366"/>
    <w:rsid w:val="897F1EBB"/>
    <w:rsid w:val="8BFB9065"/>
    <w:rsid w:val="8CCF6F3B"/>
    <w:rsid w:val="8D9F5072"/>
    <w:rsid w:val="8DF7915E"/>
    <w:rsid w:val="8E2E6454"/>
    <w:rsid w:val="8E6FB30B"/>
    <w:rsid w:val="8E7FA751"/>
    <w:rsid w:val="8F7794C5"/>
    <w:rsid w:val="8F83E2A7"/>
    <w:rsid w:val="8F930245"/>
    <w:rsid w:val="8FBE0DA6"/>
    <w:rsid w:val="8FD5CA28"/>
    <w:rsid w:val="8FEDE9FA"/>
    <w:rsid w:val="8FFA43FB"/>
    <w:rsid w:val="8FFB7098"/>
    <w:rsid w:val="8FFF081B"/>
    <w:rsid w:val="8FFFC22D"/>
    <w:rsid w:val="91DB38A5"/>
    <w:rsid w:val="922F64B8"/>
    <w:rsid w:val="926FD56A"/>
    <w:rsid w:val="935788F8"/>
    <w:rsid w:val="939DB99A"/>
    <w:rsid w:val="94FF481F"/>
    <w:rsid w:val="959FA5BD"/>
    <w:rsid w:val="95ED10B6"/>
    <w:rsid w:val="96DF105F"/>
    <w:rsid w:val="96E55A3E"/>
    <w:rsid w:val="96EB7E36"/>
    <w:rsid w:val="973F4BF0"/>
    <w:rsid w:val="97BBC327"/>
    <w:rsid w:val="97EFC839"/>
    <w:rsid w:val="97F77F0D"/>
    <w:rsid w:val="97FBF595"/>
    <w:rsid w:val="987F7FF0"/>
    <w:rsid w:val="997E0CD8"/>
    <w:rsid w:val="99F63F47"/>
    <w:rsid w:val="9AD4D099"/>
    <w:rsid w:val="9AFF2B3E"/>
    <w:rsid w:val="9B3BA51C"/>
    <w:rsid w:val="9B7E8AFC"/>
    <w:rsid w:val="9B9CE191"/>
    <w:rsid w:val="9BDF79F9"/>
    <w:rsid w:val="9BE83A05"/>
    <w:rsid w:val="9BFB6164"/>
    <w:rsid w:val="9BFBE445"/>
    <w:rsid w:val="9BFDA0CB"/>
    <w:rsid w:val="9BFEFBB6"/>
    <w:rsid w:val="9CED9F3B"/>
    <w:rsid w:val="9D1EDCFF"/>
    <w:rsid w:val="9D5442C1"/>
    <w:rsid w:val="9D777F1C"/>
    <w:rsid w:val="9DBD337B"/>
    <w:rsid w:val="9DBF6E79"/>
    <w:rsid w:val="9DDFDF0C"/>
    <w:rsid w:val="9DF659EA"/>
    <w:rsid w:val="9DFF4ECF"/>
    <w:rsid w:val="9E5B1128"/>
    <w:rsid w:val="9E653399"/>
    <w:rsid w:val="9EC792E8"/>
    <w:rsid w:val="9ECC8D8B"/>
    <w:rsid w:val="9ED4013B"/>
    <w:rsid w:val="9EDF35B7"/>
    <w:rsid w:val="9EE3F283"/>
    <w:rsid w:val="9EFA6F00"/>
    <w:rsid w:val="9EFED1B9"/>
    <w:rsid w:val="9EFF77BE"/>
    <w:rsid w:val="9F339AFB"/>
    <w:rsid w:val="9F5F0564"/>
    <w:rsid w:val="9F7F75FF"/>
    <w:rsid w:val="9F97E865"/>
    <w:rsid w:val="9FB7DBF1"/>
    <w:rsid w:val="9FBE5899"/>
    <w:rsid w:val="9FBEC33D"/>
    <w:rsid w:val="9FBF4BA9"/>
    <w:rsid w:val="9FC45B50"/>
    <w:rsid w:val="9FCF3513"/>
    <w:rsid w:val="9FDB2C7C"/>
    <w:rsid w:val="9FE7046D"/>
    <w:rsid w:val="9FEBF3AD"/>
    <w:rsid w:val="9FEC676D"/>
    <w:rsid w:val="9FF12978"/>
    <w:rsid w:val="9FFB3505"/>
    <w:rsid w:val="9FFB9E75"/>
    <w:rsid w:val="9FFD8C0D"/>
    <w:rsid w:val="9FFF0E51"/>
    <w:rsid w:val="9FFFB08C"/>
    <w:rsid w:val="A1CA9004"/>
    <w:rsid w:val="A1F7DBA4"/>
    <w:rsid w:val="A1FBFC29"/>
    <w:rsid w:val="A27AB5ED"/>
    <w:rsid w:val="A2FC96DE"/>
    <w:rsid w:val="A2FFEC81"/>
    <w:rsid w:val="A31F34CF"/>
    <w:rsid w:val="A3EE4EFB"/>
    <w:rsid w:val="A3F6BC73"/>
    <w:rsid w:val="A3FBD7D8"/>
    <w:rsid w:val="A4F48D5D"/>
    <w:rsid w:val="A52FBC66"/>
    <w:rsid w:val="A57DF1DB"/>
    <w:rsid w:val="A59D4514"/>
    <w:rsid w:val="A5BF18E2"/>
    <w:rsid w:val="A67B0EB5"/>
    <w:rsid w:val="A7178D75"/>
    <w:rsid w:val="A7BE7F26"/>
    <w:rsid w:val="A7BF9824"/>
    <w:rsid w:val="A7DE31AB"/>
    <w:rsid w:val="A7FE7AC3"/>
    <w:rsid w:val="A9CA8BBA"/>
    <w:rsid w:val="A9F73F65"/>
    <w:rsid w:val="A9F7AF08"/>
    <w:rsid w:val="AB915B28"/>
    <w:rsid w:val="AB973D46"/>
    <w:rsid w:val="ABBB41D4"/>
    <w:rsid w:val="ABDEAC36"/>
    <w:rsid w:val="ABDF51C9"/>
    <w:rsid w:val="ABEF83DB"/>
    <w:rsid w:val="ABFF12DC"/>
    <w:rsid w:val="AD7B650C"/>
    <w:rsid w:val="AD7BB83C"/>
    <w:rsid w:val="AD7E834C"/>
    <w:rsid w:val="ADCE5084"/>
    <w:rsid w:val="ADDB366C"/>
    <w:rsid w:val="ADF6FD06"/>
    <w:rsid w:val="AE4E2755"/>
    <w:rsid w:val="AE5F73C2"/>
    <w:rsid w:val="AE6F8A5C"/>
    <w:rsid w:val="AEBF62B2"/>
    <w:rsid w:val="AEF3C052"/>
    <w:rsid w:val="AEF54440"/>
    <w:rsid w:val="AEF94CFA"/>
    <w:rsid w:val="AEFAEB35"/>
    <w:rsid w:val="AEFBB4CF"/>
    <w:rsid w:val="AEFBD272"/>
    <w:rsid w:val="AEFF70D1"/>
    <w:rsid w:val="AF2E2B74"/>
    <w:rsid w:val="AFAB15CE"/>
    <w:rsid w:val="AFBF904F"/>
    <w:rsid w:val="AFD5AD31"/>
    <w:rsid w:val="AFDF0FE0"/>
    <w:rsid w:val="AFECC735"/>
    <w:rsid w:val="AFEF9492"/>
    <w:rsid w:val="AFEFD9FF"/>
    <w:rsid w:val="AFF3E069"/>
    <w:rsid w:val="AFF77FE3"/>
    <w:rsid w:val="AFFB55A2"/>
    <w:rsid w:val="AFFBB37F"/>
    <w:rsid w:val="AFFBDEA9"/>
    <w:rsid w:val="AFFF19EB"/>
    <w:rsid w:val="AFFF804A"/>
    <w:rsid w:val="AFFFF154"/>
    <w:rsid w:val="B0BB71EB"/>
    <w:rsid w:val="B1CB5CF0"/>
    <w:rsid w:val="B1F3735A"/>
    <w:rsid w:val="B2AD86DD"/>
    <w:rsid w:val="B31F3007"/>
    <w:rsid w:val="B3753A19"/>
    <w:rsid w:val="B37FF9C9"/>
    <w:rsid w:val="B3AFCD70"/>
    <w:rsid w:val="B3BDD8DF"/>
    <w:rsid w:val="B3EF4CD9"/>
    <w:rsid w:val="B3F3ADDE"/>
    <w:rsid w:val="B3FDFE7F"/>
    <w:rsid w:val="B46EEC73"/>
    <w:rsid w:val="B499C9DA"/>
    <w:rsid w:val="B4AC062A"/>
    <w:rsid w:val="B4FF0A9E"/>
    <w:rsid w:val="B562E8C8"/>
    <w:rsid w:val="B57DC4D5"/>
    <w:rsid w:val="B5BF487F"/>
    <w:rsid w:val="B5D7DD3A"/>
    <w:rsid w:val="B5E645A5"/>
    <w:rsid w:val="B5EB5E5E"/>
    <w:rsid w:val="B5F78A07"/>
    <w:rsid w:val="B5FEAC9B"/>
    <w:rsid w:val="B6234E65"/>
    <w:rsid w:val="B67782AF"/>
    <w:rsid w:val="B6BC70CF"/>
    <w:rsid w:val="B6BE26E4"/>
    <w:rsid w:val="B6FB7F06"/>
    <w:rsid w:val="B716055E"/>
    <w:rsid w:val="B73AE497"/>
    <w:rsid w:val="B73F2060"/>
    <w:rsid w:val="B7576D14"/>
    <w:rsid w:val="B75F8C38"/>
    <w:rsid w:val="B75FB63D"/>
    <w:rsid w:val="B7752DCD"/>
    <w:rsid w:val="B776E32F"/>
    <w:rsid w:val="B77DBFDC"/>
    <w:rsid w:val="B77FED0E"/>
    <w:rsid w:val="B7ABD964"/>
    <w:rsid w:val="B7B6E1F4"/>
    <w:rsid w:val="B7BE256B"/>
    <w:rsid w:val="B7DD81DC"/>
    <w:rsid w:val="B7DE9C26"/>
    <w:rsid w:val="B7ED104E"/>
    <w:rsid w:val="B7EF87E1"/>
    <w:rsid w:val="B7F13F4A"/>
    <w:rsid w:val="B7F7725E"/>
    <w:rsid w:val="B7FC061D"/>
    <w:rsid w:val="B7FD9EE3"/>
    <w:rsid w:val="B7FDF615"/>
    <w:rsid w:val="B7FFD4FE"/>
    <w:rsid w:val="B82FF60D"/>
    <w:rsid w:val="B8AF657D"/>
    <w:rsid w:val="B95EDB9F"/>
    <w:rsid w:val="B96F3AC6"/>
    <w:rsid w:val="B96F4CF4"/>
    <w:rsid w:val="B977D950"/>
    <w:rsid w:val="B9A98775"/>
    <w:rsid w:val="B9CF213D"/>
    <w:rsid w:val="B9F947B9"/>
    <w:rsid w:val="B9FF3859"/>
    <w:rsid w:val="BAD9A744"/>
    <w:rsid w:val="BADE320D"/>
    <w:rsid w:val="BAF3776A"/>
    <w:rsid w:val="BAF79E8A"/>
    <w:rsid w:val="BAFFD7B6"/>
    <w:rsid w:val="BB19F88E"/>
    <w:rsid w:val="BB1CC0DA"/>
    <w:rsid w:val="BB1DBD38"/>
    <w:rsid w:val="BB4F28B2"/>
    <w:rsid w:val="BB5F19B4"/>
    <w:rsid w:val="BB5FCD2B"/>
    <w:rsid w:val="BB74E6E6"/>
    <w:rsid w:val="BB776079"/>
    <w:rsid w:val="BB7F6B15"/>
    <w:rsid w:val="BB7FE2DB"/>
    <w:rsid w:val="BBBB14EB"/>
    <w:rsid w:val="BBBE3B3D"/>
    <w:rsid w:val="BBDFB31B"/>
    <w:rsid w:val="BBECF9C8"/>
    <w:rsid w:val="BBEE2051"/>
    <w:rsid w:val="BBF2614B"/>
    <w:rsid w:val="BBF650F4"/>
    <w:rsid w:val="BBF7E394"/>
    <w:rsid w:val="BBF9DFA1"/>
    <w:rsid w:val="BBFE7357"/>
    <w:rsid w:val="BBFE8728"/>
    <w:rsid w:val="BBFEF68C"/>
    <w:rsid w:val="BBFF3449"/>
    <w:rsid w:val="BBFF5D35"/>
    <w:rsid w:val="BBFF94A7"/>
    <w:rsid w:val="BBFFAA05"/>
    <w:rsid w:val="BBFFD78F"/>
    <w:rsid w:val="BC4B95B8"/>
    <w:rsid w:val="BCADDEEF"/>
    <w:rsid w:val="BCFFF65D"/>
    <w:rsid w:val="BD87660F"/>
    <w:rsid w:val="BD97A20D"/>
    <w:rsid w:val="BDBBFB4A"/>
    <w:rsid w:val="BDC4FD0F"/>
    <w:rsid w:val="BDCB3969"/>
    <w:rsid w:val="BDDD4B6D"/>
    <w:rsid w:val="BDE29AE3"/>
    <w:rsid w:val="BDE745E1"/>
    <w:rsid w:val="BDEF0739"/>
    <w:rsid w:val="BDEF47CA"/>
    <w:rsid w:val="BDEF832D"/>
    <w:rsid w:val="BDF9CC36"/>
    <w:rsid w:val="BDFC323F"/>
    <w:rsid w:val="BDFF8828"/>
    <w:rsid w:val="BE3316E6"/>
    <w:rsid w:val="BE3D7E0A"/>
    <w:rsid w:val="BE6A943E"/>
    <w:rsid w:val="BE6FF502"/>
    <w:rsid w:val="BEBCD6CC"/>
    <w:rsid w:val="BEDE3F91"/>
    <w:rsid w:val="BEDF3CBD"/>
    <w:rsid w:val="BEFBC8CB"/>
    <w:rsid w:val="BEFD8A57"/>
    <w:rsid w:val="BF4F9A75"/>
    <w:rsid w:val="BF57D062"/>
    <w:rsid w:val="BF760A28"/>
    <w:rsid w:val="BF760B4A"/>
    <w:rsid w:val="BF7FA458"/>
    <w:rsid w:val="BF7FAE67"/>
    <w:rsid w:val="BF7FF669"/>
    <w:rsid w:val="BF8982E4"/>
    <w:rsid w:val="BF93B431"/>
    <w:rsid w:val="BF97AE95"/>
    <w:rsid w:val="BFB34171"/>
    <w:rsid w:val="BFB68E63"/>
    <w:rsid w:val="BFB6BFC4"/>
    <w:rsid w:val="BFBF192F"/>
    <w:rsid w:val="BFBF28A3"/>
    <w:rsid w:val="BFBF650A"/>
    <w:rsid w:val="BFBF75D0"/>
    <w:rsid w:val="BFBFF74B"/>
    <w:rsid w:val="BFC75088"/>
    <w:rsid w:val="BFCD8B3F"/>
    <w:rsid w:val="BFCF25B1"/>
    <w:rsid w:val="BFDEBF9E"/>
    <w:rsid w:val="BFDF9665"/>
    <w:rsid w:val="BFE3189F"/>
    <w:rsid w:val="BFE7D90A"/>
    <w:rsid w:val="BFE9355D"/>
    <w:rsid w:val="BFEAAB70"/>
    <w:rsid w:val="BFEC5518"/>
    <w:rsid w:val="BFED8CEF"/>
    <w:rsid w:val="BFEEDE11"/>
    <w:rsid w:val="BFEF465F"/>
    <w:rsid w:val="BFF3C9D3"/>
    <w:rsid w:val="BFF50C81"/>
    <w:rsid w:val="BFF58E41"/>
    <w:rsid w:val="BFF78725"/>
    <w:rsid w:val="BFF7CC4D"/>
    <w:rsid w:val="BFF96F41"/>
    <w:rsid w:val="BFFA21D9"/>
    <w:rsid w:val="BFFA6FFB"/>
    <w:rsid w:val="BFFA807C"/>
    <w:rsid w:val="BFFB18E1"/>
    <w:rsid w:val="BFFD210F"/>
    <w:rsid w:val="BFFD6573"/>
    <w:rsid w:val="BFFD97FE"/>
    <w:rsid w:val="BFFEEAEC"/>
    <w:rsid w:val="BFFF5B30"/>
    <w:rsid w:val="BFFF5EAD"/>
    <w:rsid w:val="BFFF8585"/>
    <w:rsid w:val="BFFFC9E6"/>
    <w:rsid w:val="BFFFD02C"/>
    <w:rsid w:val="BFFFE328"/>
    <w:rsid w:val="C4D9E644"/>
    <w:rsid w:val="C4ED339F"/>
    <w:rsid w:val="C57F8C30"/>
    <w:rsid w:val="C5EF7121"/>
    <w:rsid w:val="C5FDB1C0"/>
    <w:rsid w:val="C5FFEB67"/>
    <w:rsid w:val="C63E6B34"/>
    <w:rsid w:val="C67C74BA"/>
    <w:rsid w:val="C6FFF9C7"/>
    <w:rsid w:val="C75F1620"/>
    <w:rsid w:val="C7E71C5B"/>
    <w:rsid w:val="C7EF4E9E"/>
    <w:rsid w:val="C7EFDBD4"/>
    <w:rsid w:val="C7F70202"/>
    <w:rsid w:val="C7FDC6A1"/>
    <w:rsid w:val="C7FE7EEA"/>
    <w:rsid w:val="C8EB0D4F"/>
    <w:rsid w:val="C98FF77C"/>
    <w:rsid w:val="C9F61ADC"/>
    <w:rsid w:val="CA5D3232"/>
    <w:rsid w:val="CAF9E14C"/>
    <w:rsid w:val="CAFB8431"/>
    <w:rsid w:val="CB3FF3CE"/>
    <w:rsid w:val="CB3FF9D0"/>
    <w:rsid w:val="CDBFFF0E"/>
    <w:rsid w:val="CDEAC8AB"/>
    <w:rsid w:val="CDF66B58"/>
    <w:rsid w:val="CDFEEE98"/>
    <w:rsid w:val="CE47D468"/>
    <w:rsid w:val="CEFA1A64"/>
    <w:rsid w:val="CEFB6AD1"/>
    <w:rsid w:val="CEFF0732"/>
    <w:rsid w:val="CF392951"/>
    <w:rsid w:val="CF3F72C1"/>
    <w:rsid w:val="CF4390D6"/>
    <w:rsid w:val="CF69C45E"/>
    <w:rsid w:val="CF6D2989"/>
    <w:rsid w:val="CF778CF8"/>
    <w:rsid w:val="CF997AD7"/>
    <w:rsid w:val="CF9F782A"/>
    <w:rsid w:val="CFAD2424"/>
    <w:rsid w:val="CFBDA1CE"/>
    <w:rsid w:val="CFCB0E07"/>
    <w:rsid w:val="CFCDC129"/>
    <w:rsid w:val="CFE7B8EC"/>
    <w:rsid w:val="CFEA22CA"/>
    <w:rsid w:val="CFF775C9"/>
    <w:rsid w:val="CFF96CBA"/>
    <w:rsid w:val="CFF9EC96"/>
    <w:rsid w:val="CFFB6D25"/>
    <w:rsid w:val="CFFC95A5"/>
    <w:rsid w:val="CFFF8055"/>
    <w:rsid w:val="D2B25C51"/>
    <w:rsid w:val="D393E46A"/>
    <w:rsid w:val="D39B69F0"/>
    <w:rsid w:val="D3D3CD5B"/>
    <w:rsid w:val="D3D6F34C"/>
    <w:rsid w:val="D4F8C14F"/>
    <w:rsid w:val="D4FB6F85"/>
    <w:rsid w:val="D4FE2498"/>
    <w:rsid w:val="D4FF5D8F"/>
    <w:rsid w:val="D57B0ACB"/>
    <w:rsid w:val="D57F1E69"/>
    <w:rsid w:val="D5CDEEC7"/>
    <w:rsid w:val="D5FF044B"/>
    <w:rsid w:val="D5FFF0D6"/>
    <w:rsid w:val="D637D140"/>
    <w:rsid w:val="D67FEDDB"/>
    <w:rsid w:val="D6F35FAD"/>
    <w:rsid w:val="D6FB4800"/>
    <w:rsid w:val="D6FD17D0"/>
    <w:rsid w:val="D6FF645D"/>
    <w:rsid w:val="D71D8453"/>
    <w:rsid w:val="D77F768E"/>
    <w:rsid w:val="D78D4D2E"/>
    <w:rsid w:val="D79FE6FB"/>
    <w:rsid w:val="D7AE2AD2"/>
    <w:rsid w:val="D7B7B2FF"/>
    <w:rsid w:val="D7C4A0B9"/>
    <w:rsid w:val="D7CB9654"/>
    <w:rsid w:val="D7D65116"/>
    <w:rsid w:val="D7D79AB4"/>
    <w:rsid w:val="D7D91CEF"/>
    <w:rsid w:val="D7EF8CC7"/>
    <w:rsid w:val="D7F34F3F"/>
    <w:rsid w:val="D7F5DB7E"/>
    <w:rsid w:val="D7F754A1"/>
    <w:rsid w:val="D7FA053B"/>
    <w:rsid w:val="D7FE2AA6"/>
    <w:rsid w:val="D7FE5D2B"/>
    <w:rsid w:val="D7FE80D8"/>
    <w:rsid w:val="D87F165D"/>
    <w:rsid w:val="D9C83039"/>
    <w:rsid w:val="D9FDCD52"/>
    <w:rsid w:val="D9FFDFA5"/>
    <w:rsid w:val="DA7784C7"/>
    <w:rsid w:val="DAAF47F2"/>
    <w:rsid w:val="DAEFE4A2"/>
    <w:rsid w:val="DAF37530"/>
    <w:rsid w:val="DB5FF98A"/>
    <w:rsid w:val="DB65DF95"/>
    <w:rsid w:val="DB9F01E5"/>
    <w:rsid w:val="DBAF9B41"/>
    <w:rsid w:val="DBBFCA84"/>
    <w:rsid w:val="DBD60903"/>
    <w:rsid w:val="DBD74CB1"/>
    <w:rsid w:val="DBDBAAA8"/>
    <w:rsid w:val="DBDE6B80"/>
    <w:rsid w:val="DBDF39D6"/>
    <w:rsid w:val="DBF6E35B"/>
    <w:rsid w:val="DBF6FB52"/>
    <w:rsid w:val="DBF7CD2A"/>
    <w:rsid w:val="DBF9DAE9"/>
    <w:rsid w:val="DBFD4394"/>
    <w:rsid w:val="DBFF0F1A"/>
    <w:rsid w:val="DBFF5997"/>
    <w:rsid w:val="DBFF81A1"/>
    <w:rsid w:val="DBFFC54E"/>
    <w:rsid w:val="DCDF8CB5"/>
    <w:rsid w:val="DCEFCB9A"/>
    <w:rsid w:val="DCEFF2AB"/>
    <w:rsid w:val="DCF7551E"/>
    <w:rsid w:val="DCFA6F8B"/>
    <w:rsid w:val="DCFC0ECB"/>
    <w:rsid w:val="DD0B9F3E"/>
    <w:rsid w:val="DD3DC086"/>
    <w:rsid w:val="DD46CD1C"/>
    <w:rsid w:val="DD4F3346"/>
    <w:rsid w:val="DD63EE79"/>
    <w:rsid w:val="DD675F9C"/>
    <w:rsid w:val="DD775A0B"/>
    <w:rsid w:val="DD7B95C2"/>
    <w:rsid w:val="DD7D57E8"/>
    <w:rsid w:val="DD890FA1"/>
    <w:rsid w:val="DDB72D89"/>
    <w:rsid w:val="DDC35EA0"/>
    <w:rsid w:val="DDDB13DC"/>
    <w:rsid w:val="DDDBF811"/>
    <w:rsid w:val="DDDEAC1E"/>
    <w:rsid w:val="DDEA0A86"/>
    <w:rsid w:val="DDED884D"/>
    <w:rsid w:val="DDEF85AF"/>
    <w:rsid w:val="DDFBB94D"/>
    <w:rsid w:val="DDFBD26B"/>
    <w:rsid w:val="DDFDEFC6"/>
    <w:rsid w:val="DDFE1298"/>
    <w:rsid w:val="DDFE852C"/>
    <w:rsid w:val="DDFF38CA"/>
    <w:rsid w:val="DDFF96A6"/>
    <w:rsid w:val="DDFFB8F5"/>
    <w:rsid w:val="DDFFD4AB"/>
    <w:rsid w:val="DE35E57D"/>
    <w:rsid w:val="DE373EAE"/>
    <w:rsid w:val="DE3B9387"/>
    <w:rsid w:val="DE7F326E"/>
    <w:rsid w:val="DE7FAFCE"/>
    <w:rsid w:val="DEAE3D8D"/>
    <w:rsid w:val="DEAED6CC"/>
    <w:rsid w:val="DEBB73C8"/>
    <w:rsid w:val="DEBD8FB0"/>
    <w:rsid w:val="DEBFD56F"/>
    <w:rsid w:val="DEC93B95"/>
    <w:rsid w:val="DECD64F5"/>
    <w:rsid w:val="DED7F6F2"/>
    <w:rsid w:val="DEDB9E40"/>
    <w:rsid w:val="DEDF225A"/>
    <w:rsid w:val="DEDFF436"/>
    <w:rsid w:val="DEE554D0"/>
    <w:rsid w:val="DEE93F3D"/>
    <w:rsid w:val="DEF1F04D"/>
    <w:rsid w:val="DEFD8F38"/>
    <w:rsid w:val="DEFDA48B"/>
    <w:rsid w:val="DEFE808B"/>
    <w:rsid w:val="DEFF09E7"/>
    <w:rsid w:val="DEFF2E7C"/>
    <w:rsid w:val="DEFF5E9B"/>
    <w:rsid w:val="DEFF8731"/>
    <w:rsid w:val="DEFF9132"/>
    <w:rsid w:val="DEFFBD7F"/>
    <w:rsid w:val="DF335AF3"/>
    <w:rsid w:val="DF3A4E64"/>
    <w:rsid w:val="DF3B5A12"/>
    <w:rsid w:val="DF3F7F53"/>
    <w:rsid w:val="DF4F4953"/>
    <w:rsid w:val="DF5873E8"/>
    <w:rsid w:val="DF5FF146"/>
    <w:rsid w:val="DF642EA2"/>
    <w:rsid w:val="DF66A5A8"/>
    <w:rsid w:val="DF671CCD"/>
    <w:rsid w:val="DF6F7DAA"/>
    <w:rsid w:val="DF6FF205"/>
    <w:rsid w:val="DF71FDF0"/>
    <w:rsid w:val="DF731FBC"/>
    <w:rsid w:val="DF74F5C0"/>
    <w:rsid w:val="DF775C5E"/>
    <w:rsid w:val="DF7E250E"/>
    <w:rsid w:val="DF7ED6C6"/>
    <w:rsid w:val="DF7FC972"/>
    <w:rsid w:val="DF8E07E1"/>
    <w:rsid w:val="DF9594A3"/>
    <w:rsid w:val="DF97C98C"/>
    <w:rsid w:val="DF9C5918"/>
    <w:rsid w:val="DF9F52D8"/>
    <w:rsid w:val="DF9FDAE9"/>
    <w:rsid w:val="DFA7E94C"/>
    <w:rsid w:val="DFBC8052"/>
    <w:rsid w:val="DFBE758C"/>
    <w:rsid w:val="DFBF5C5D"/>
    <w:rsid w:val="DFC33C6F"/>
    <w:rsid w:val="DFC5C5B5"/>
    <w:rsid w:val="DFC76464"/>
    <w:rsid w:val="DFC97D6A"/>
    <w:rsid w:val="DFC9D179"/>
    <w:rsid w:val="DFCD2C66"/>
    <w:rsid w:val="DFCDD875"/>
    <w:rsid w:val="DFDAADBA"/>
    <w:rsid w:val="DFDBF0B7"/>
    <w:rsid w:val="DFDF0ED1"/>
    <w:rsid w:val="DFE2BBA1"/>
    <w:rsid w:val="DFE3178E"/>
    <w:rsid w:val="DFE6AAB3"/>
    <w:rsid w:val="DFE745BB"/>
    <w:rsid w:val="DFEA8E4B"/>
    <w:rsid w:val="DFEDC9CF"/>
    <w:rsid w:val="DFEF02D4"/>
    <w:rsid w:val="DFEF6CEF"/>
    <w:rsid w:val="DFF42766"/>
    <w:rsid w:val="DFF66604"/>
    <w:rsid w:val="DFF79C5F"/>
    <w:rsid w:val="DFF9D7EC"/>
    <w:rsid w:val="DFFB1799"/>
    <w:rsid w:val="DFFB844E"/>
    <w:rsid w:val="DFFBF53D"/>
    <w:rsid w:val="DFFC3DA7"/>
    <w:rsid w:val="DFFC561A"/>
    <w:rsid w:val="DFFCDD72"/>
    <w:rsid w:val="DFFD2A97"/>
    <w:rsid w:val="DFFDD3CC"/>
    <w:rsid w:val="DFFDDC2E"/>
    <w:rsid w:val="DFFDE5C2"/>
    <w:rsid w:val="DFFEA00B"/>
    <w:rsid w:val="DFFEB108"/>
    <w:rsid w:val="DFFED517"/>
    <w:rsid w:val="DFFF2A8A"/>
    <w:rsid w:val="DFFF419F"/>
    <w:rsid w:val="DFFF588B"/>
    <w:rsid w:val="DFFF68E6"/>
    <w:rsid w:val="DFFF9DC8"/>
    <w:rsid w:val="DFFFBBAA"/>
    <w:rsid w:val="DFFFF263"/>
    <w:rsid w:val="E17D3927"/>
    <w:rsid w:val="E1BBF0ED"/>
    <w:rsid w:val="E1CB25ED"/>
    <w:rsid w:val="E2DFC358"/>
    <w:rsid w:val="E2FA30BF"/>
    <w:rsid w:val="E2FE8B1C"/>
    <w:rsid w:val="E37F59A0"/>
    <w:rsid w:val="E394CDA7"/>
    <w:rsid w:val="E3C94546"/>
    <w:rsid w:val="E3F91C73"/>
    <w:rsid w:val="E3FFDC01"/>
    <w:rsid w:val="E42BB676"/>
    <w:rsid w:val="E45FA309"/>
    <w:rsid w:val="E4EEAE07"/>
    <w:rsid w:val="E4FE8217"/>
    <w:rsid w:val="E4FF5EA9"/>
    <w:rsid w:val="E56F3777"/>
    <w:rsid w:val="E5DD3440"/>
    <w:rsid w:val="E5EDBD81"/>
    <w:rsid w:val="E5FB43B3"/>
    <w:rsid w:val="E5FF76B3"/>
    <w:rsid w:val="E5FFE49F"/>
    <w:rsid w:val="E62FCC73"/>
    <w:rsid w:val="E63E4CD3"/>
    <w:rsid w:val="E66D67D2"/>
    <w:rsid w:val="E6BBB5B4"/>
    <w:rsid w:val="E6FDC96A"/>
    <w:rsid w:val="E6FED43C"/>
    <w:rsid w:val="E6FFE63A"/>
    <w:rsid w:val="E73B14BC"/>
    <w:rsid w:val="E75F243F"/>
    <w:rsid w:val="E76729BE"/>
    <w:rsid w:val="E77FCAFB"/>
    <w:rsid w:val="E7822B26"/>
    <w:rsid w:val="E79F5DB1"/>
    <w:rsid w:val="E7AE4DB9"/>
    <w:rsid w:val="E7BBAA64"/>
    <w:rsid w:val="E7BFC4DE"/>
    <w:rsid w:val="E7CFCD62"/>
    <w:rsid w:val="E7DA8046"/>
    <w:rsid w:val="E7DD8D67"/>
    <w:rsid w:val="E7EF5EDF"/>
    <w:rsid w:val="E7FD9419"/>
    <w:rsid w:val="E7FFDA6C"/>
    <w:rsid w:val="E7FFE3E0"/>
    <w:rsid w:val="E8FF534D"/>
    <w:rsid w:val="E97F573C"/>
    <w:rsid w:val="E9BBC021"/>
    <w:rsid w:val="E9E6AEAD"/>
    <w:rsid w:val="E9F7C3CD"/>
    <w:rsid w:val="EA17EF96"/>
    <w:rsid w:val="EA9C0272"/>
    <w:rsid w:val="EAA90B81"/>
    <w:rsid w:val="EADDF073"/>
    <w:rsid w:val="EB1EC76D"/>
    <w:rsid w:val="EB37BF2F"/>
    <w:rsid w:val="EB3D3A68"/>
    <w:rsid w:val="EB5A3440"/>
    <w:rsid w:val="EB5D66F0"/>
    <w:rsid w:val="EB5F035C"/>
    <w:rsid w:val="EB7B7BF1"/>
    <w:rsid w:val="EB7F2C71"/>
    <w:rsid w:val="EBAF2A2C"/>
    <w:rsid w:val="EBBE73C2"/>
    <w:rsid w:val="EBBF7AF8"/>
    <w:rsid w:val="EBBF85EC"/>
    <w:rsid w:val="EBD76CE6"/>
    <w:rsid w:val="EBDB942A"/>
    <w:rsid w:val="EBDD14FD"/>
    <w:rsid w:val="EBE291E6"/>
    <w:rsid w:val="EBE75462"/>
    <w:rsid w:val="EBECAC5B"/>
    <w:rsid w:val="EBF95468"/>
    <w:rsid w:val="EBFBFC4A"/>
    <w:rsid w:val="EBFF355C"/>
    <w:rsid w:val="EBFF8BBA"/>
    <w:rsid w:val="EBFFE3CA"/>
    <w:rsid w:val="EC7FA213"/>
    <w:rsid w:val="ECBD659F"/>
    <w:rsid w:val="ECBD976A"/>
    <w:rsid w:val="ECDDA2B3"/>
    <w:rsid w:val="ECDFB177"/>
    <w:rsid w:val="ECEB421B"/>
    <w:rsid w:val="ECF31884"/>
    <w:rsid w:val="ECFED850"/>
    <w:rsid w:val="ED5D5665"/>
    <w:rsid w:val="ED6FC77C"/>
    <w:rsid w:val="ED7962C8"/>
    <w:rsid w:val="EDA308D1"/>
    <w:rsid w:val="EDB9FE0E"/>
    <w:rsid w:val="EDBFB1F4"/>
    <w:rsid w:val="EDDF1CA4"/>
    <w:rsid w:val="EDE661B9"/>
    <w:rsid w:val="EDEB06F2"/>
    <w:rsid w:val="EDFDACA2"/>
    <w:rsid w:val="EDFF0879"/>
    <w:rsid w:val="EDFF1C4B"/>
    <w:rsid w:val="EDFF6B41"/>
    <w:rsid w:val="EDFFB252"/>
    <w:rsid w:val="EDFFE3DB"/>
    <w:rsid w:val="EE6FD10C"/>
    <w:rsid w:val="EE75983B"/>
    <w:rsid w:val="EE7F1C02"/>
    <w:rsid w:val="EE7F3CC5"/>
    <w:rsid w:val="EE7FB8A6"/>
    <w:rsid w:val="EE7FBB1C"/>
    <w:rsid w:val="EE93F570"/>
    <w:rsid w:val="EEAFA0D6"/>
    <w:rsid w:val="EEAFA2CD"/>
    <w:rsid w:val="EEB58876"/>
    <w:rsid w:val="EEBFB49A"/>
    <w:rsid w:val="EEDB0C14"/>
    <w:rsid w:val="EEF6589F"/>
    <w:rsid w:val="EEF752C7"/>
    <w:rsid w:val="EEF7B78D"/>
    <w:rsid w:val="EEF9C33A"/>
    <w:rsid w:val="EEFB4ECA"/>
    <w:rsid w:val="EEFB8824"/>
    <w:rsid w:val="EEFB928D"/>
    <w:rsid w:val="EEFEC404"/>
    <w:rsid w:val="EEFF4E9E"/>
    <w:rsid w:val="EF2F3A56"/>
    <w:rsid w:val="EF3BC19C"/>
    <w:rsid w:val="EF3F6337"/>
    <w:rsid w:val="EF5D65E3"/>
    <w:rsid w:val="EF5E11F1"/>
    <w:rsid w:val="EF699830"/>
    <w:rsid w:val="EF6DC545"/>
    <w:rsid w:val="EF6FA7A9"/>
    <w:rsid w:val="EF77EEB5"/>
    <w:rsid w:val="EF797FF0"/>
    <w:rsid w:val="EF7D3127"/>
    <w:rsid w:val="EF7D46C7"/>
    <w:rsid w:val="EF7F0F9B"/>
    <w:rsid w:val="EF7F127D"/>
    <w:rsid w:val="EF7FFC32"/>
    <w:rsid w:val="EF9558B9"/>
    <w:rsid w:val="EF9F0B70"/>
    <w:rsid w:val="EF9F7631"/>
    <w:rsid w:val="EFB625D3"/>
    <w:rsid w:val="EFB74645"/>
    <w:rsid w:val="EFB8E525"/>
    <w:rsid w:val="EFBF528A"/>
    <w:rsid w:val="EFC23611"/>
    <w:rsid w:val="EFCDCE75"/>
    <w:rsid w:val="EFCF5F5E"/>
    <w:rsid w:val="EFD4B95E"/>
    <w:rsid w:val="EFD7B144"/>
    <w:rsid w:val="EFD99E33"/>
    <w:rsid w:val="EFDB1F2D"/>
    <w:rsid w:val="EFDB245C"/>
    <w:rsid w:val="EFDCD71E"/>
    <w:rsid w:val="EFDD66BE"/>
    <w:rsid w:val="EFDF273E"/>
    <w:rsid w:val="EFDFA24E"/>
    <w:rsid w:val="EFE88A60"/>
    <w:rsid w:val="EFEAEE8C"/>
    <w:rsid w:val="EFEF1EC2"/>
    <w:rsid w:val="EFF53CBF"/>
    <w:rsid w:val="EFF59CF4"/>
    <w:rsid w:val="EFF7F296"/>
    <w:rsid w:val="EFFB19E9"/>
    <w:rsid w:val="EFFB3207"/>
    <w:rsid w:val="EFFBA12D"/>
    <w:rsid w:val="EFFD3156"/>
    <w:rsid w:val="EFFDC0C8"/>
    <w:rsid w:val="EFFE7CE9"/>
    <w:rsid w:val="EFFE81A8"/>
    <w:rsid w:val="EFFED032"/>
    <w:rsid w:val="EFFF309F"/>
    <w:rsid w:val="EFFF63A2"/>
    <w:rsid w:val="EFFF7953"/>
    <w:rsid w:val="EFFF8745"/>
    <w:rsid w:val="EFFF89F3"/>
    <w:rsid w:val="EFFFCD89"/>
    <w:rsid w:val="F0E74336"/>
    <w:rsid w:val="F0EFD4A0"/>
    <w:rsid w:val="F0F7023F"/>
    <w:rsid w:val="F0FEE9BF"/>
    <w:rsid w:val="F13F5081"/>
    <w:rsid w:val="F1439BF3"/>
    <w:rsid w:val="F1BFB189"/>
    <w:rsid w:val="F1D54B3B"/>
    <w:rsid w:val="F1EBABB4"/>
    <w:rsid w:val="F1F4A30F"/>
    <w:rsid w:val="F1F7A109"/>
    <w:rsid w:val="F1FBC1A6"/>
    <w:rsid w:val="F1FF1E0D"/>
    <w:rsid w:val="F1FF559B"/>
    <w:rsid w:val="F25AD9AC"/>
    <w:rsid w:val="F267C00C"/>
    <w:rsid w:val="F27B7C7F"/>
    <w:rsid w:val="F29D4D03"/>
    <w:rsid w:val="F2DFCFBF"/>
    <w:rsid w:val="F2F7BC24"/>
    <w:rsid w:val="F2FC8615"/>
    <w:rsid w:val="F3672DDA"/>
    <w:rsid w:val="F36F184F"/>
    <w:rsid w:val="F37CBF49"/>
    <w:rsid w:val="F37CF61F"/>
    <w:rsid w:val="F37E0C8D"/>
    <w:rsid w:val="F37FF293"/>
    <w:rsid w:val="F3A0C0DB"/>
    <w:rsid w:val="F3AE9542"/>
    <w:rsid w:val="F3D851F7"/>
    <w:rsid w:val="F3DEC62D"/>
    <w:rsid w:val="F3ED8EA3"/>
    <w:rsid w:val="F3F7C76F"/>
    <w:rsid w:val="F3F7F57B"/>
    <w:rsid w:val="F3F974D5"/>
    <w:rsid w:val="F3FD69CC"/>
    <w:rsid w:val="F3FDF1FB"/>
    <w:rsid w:val="F3FF0FB5"/>
    <w:rsid w:val="F3FFF22D"/>
    <w:rsid w:val="F44B24B9"/>
    <w:rsid w:val="F45DEE4A"/>
    <w:rsid w:val="F4B588EB"/>
    <w:rsid w:val="F4FD96AC"/>
    <w:rsid w:val="F4FFB733"/>
    <w:rsid w:val="F54A75E2"/>
    <w:rsid w:val="F55209ED"/>
    <w:rsid w:val="F55D6707"/>
    <w:rsid w:val="F55F4F52"/>
    <w:rsid w:val="F577D8C6"/>
    <w:rsid w:val="F57D0075"/>
    <w:rsid w:val="F57DDFA9"/>
    <w:rsid w:val="F59F256C"/>
    <w:rsid w:val="F5AED10E"/>
    <w:rsid w:val="F5B79596"/>
    <w:rsid w:val="F5BD473E"/>
    <w:rsid w:val="F5BFFDA7"/>
    <w:rsid w:val="F5CF805F"/>
    <w:rsid w:val="F5D2B0BE"/>
    <w:rsid w:val="F5D9D94B"/>
    <w:rsid w:val="F5F3DE1F"/>
    <w:rsid w:val="F5FE54EB"/>
    <w:rsid w:val="F5FFE1B5"/>
    <w:rsid w:val="F63B89AD"/>
    <w:rsid w:val="F670540B"/>
    <w:rsid w:val="F6AC9EFB"/>
    <w:rsid w:val="F6BA1874"/>
    <w:rsid w:val="F6BBF18B"/>
    <w:rsid w:val="F6BE7536"/>
    <w:rsid w:val="F6BF674F"/>
    <w:rsid w:val="F6DE54EF"/>
    <w:rsid w:val="F6E777BF"/>
    <w:rsid w:val="F6ED2BDA"/>
    <w:rsid w:val="F6EF0FA3"/>
    <w:rsid w:val="F6F6BC03"/>
    <w:rsid w:val="F6FFB9BB"/>
    <w:rsid w:val="F6FFC33D"/>
    <w:rsid w:val="F715BFB0"/>
    <w:rsid w:val="F72750D9"/>
    <w:rsid w:val="F73C8762"/>
    <w:rsid w:val="F73F4F83"/>
    <w:rsid w:val="F74B6376"/>
    <w:rsid w:val="F755E04A"/>
    <w:rsid w:val="F75BA0E9"/>
    <w:rsid w:val="F75F5312"/>
    <w:rsid w:val="F76C9CDD"/>
    <w:rsid w:val="F76D6167"/>
    <w:rsid w:val="F76E7173"/>
    <w:rsid w:val="F773F585"/>
    <w:rsid w:val="F775577C"/>
    <w:rsid w:val="F777A395"/>
    <w:rsid w:val="F77CB068"/>
    <w:rsid w:val="F77F9B28"/>
    <w:rsid w:val="F7970C66"/>
    <w:rsid w:val="F7988CCE"/>
    <w:rsid w:val="F7A39151"/>
    <w:rsid w:val="F7A84832"/>
    <w:rsid w:val="F7AE6B31"/>
    <w:rsid w:val="F7AF3039"/>
    <w:rsid w:val="F7AF9BF6"/>
    <w:rsid w:val="F7AFE2A6"/>
    <w:rsid w:val="F7B7F9B7"/>
    <w:rsid w:val="F7BB1045"/>
    <w:rsid w:val="F7BB3EA0"/>
    <w:rsid w:val="F7BC78E1"/>
    <w:rsid w:val="F7BFE0D2"/>
    <w:rsid w:val="F7CBC3C8"/>
    <w:rsid w:val="F7CDE705"/>
    <w:rsid w:val="F7CFC001"/>
    <w:rsid w:val="F7D364FE"/>
    <w:rsid w:val="F7D6899B"/>
    <w:rsid w:val="F7DB4A98"/>
    <w:rsid w:val="F7DE7613"/>
    <w:rsid w:val="F7E38C18"/>
    <w:rsid w:val="F7E75029"/>
    <w:rsid w:val="F7E7870B"/>
    <w:rsid w:val="F7EA333A"/>
    <w:rsid w:val="F7EF7ED5"/>
    <w:rsid w:val="F7EF871D"/>
    <w:rsid w:val="F7F6C215"/>
    <w:rsid w:val="F7F70A1C"/>
    <w:rsid w:val="F7FAFF6D"/>
    <w:rsid w:val="F7FB19A4"/>
    <w:rsid w:val="F7FB7B8B"/>
    <w:rsid w:val="F7FC64AA"/>
    <w:rsid w:val="F7FD2B89"/>
    <w:rsid w:val="F7FD4EEB"/>
    <w:rsid w:val="F7FD501F"/>
    <w:rsid w:val="F7FD99C5"/>
    <w:rsid w:val="F7FD9AAE"/>
    <w:rsid w:val="F7FE7ED9"/>
    <w:rsid w:val="F7FECBCB"/>
    <w:rsid w:val="F7FF2E88"/>
    <w:rsid w:val="F7FF5435"/>
    <w:rsid w:val="F7FF7BC9"/>
    <w:rsid w:val="F7FF8867"/>
    <w:rsid w:val="F7FF965E"/>
    <w:rsid w:val="F7FFF1D0"/>
    <w:rsid w:val="F83950A7"/>
    <w:rsid w:val="F83B8C1C"/>
    <w:rsid w:val="F87F77D4"/>
    <w:rsid w:val="F89F4F92"/>
    <w:rsid w:val="F8BF1B52"/>
    <w:rsid w:val="F8CF6560"/>
    <w:rsid w:val="F8E6374A"/>
    <w:rsid w:val="F8F7ECA2"/>
    <w:rsid w:val="F93464DB"/>
    <w:rsid w:val="F9774064"/>
    <w:rsid w:val="F9774869"/>
    <w:rsid w:val="F97C9846"/>
    <w:rsid w:val="F99B1EA9"/>
    <w:rsid w:val="F9B187C3"/>
    <w:rsid w:val="F9BECB16"/>
    <w:rsid w:val="F9D722E0"/>
    <w:rsid w:val="F9E3BDAD"/>
    <w:rsid w:val="F9ED0BE2"/>
    <w:rsid w:val="F9EDC1B7"/>
    <w:rsid w:val="F9FAA245"/>
    <w:rsid w:val="F9FD764B"/>
    <w:rsid w:val="F9FF4883"/>
    <w:rsid w:val="F9FF4DF8"/>
    <w:rsid w:val="F9FF62FD"/>
    <w:rsid w:val="F9FFEFD6"/>
    <w:rsid w:val="FA1D9D0A"/>
    <w:rsid w:val="FA3F9F01"/>
    <w:rsid w:val="FA5AD753"/>
    <w:rsid w:val="FA5E93F6"/>
    <w:rsid w:val="FA6F1F51"/>
    <w:rsid w:val="FA77D201"/>
    <w:rsid w:val="FA7CA372"/>
    <w:rsid w:val="FA7DA956"/>
    <w:rsid w:val="FA7E5B39"/>
    <w:rsid w:val="FA9B4E01"/>
    <w:rsid w:val="FAABD2E8"/>
    <w:rsid w:val="FAB91254"/>
    <w:rsid w:val="FABDAA14"/>
    <w:rsid w:val="FABF063A"/>
    <w:rsid w:val="FABF25F1"/>
    <w:rsid w:val="FAC98FB6"/>
    <w:rsid w:val="FADC24B3"/>
    <w:rsid w:val="FADEE523"/>
    <w:rsid w:val="FADFA2DA"/>
    <w:rsid w:val="FAEB8D79"/>
    <w:rsid w:val="FAF1327C"/>
    <w:rsid w:val="FAF54ED6"/>
    <w:rsid w:val="FAF72FDA"/>
    <w:rsid w:val="FAF73ED0"/>
    <w:rsid w:val="FAFE77B8"/>
    <w:rsid w:val="FB252D09"/>
    <w:rsid w:val="FB271E4A"/>
    <w:rsid w:val="FB2F364A"/>
    <w:rsid w:val="FB2F3A14"/>
    <w:rsid w:val="FB39243B"/>
    <w:rsid w:val="FB3F3A99"/>
    <w:rsid w:val="FB554876"/>
    <w:rsid w:val="FB566A95"/>
    <w:rsid w:val="FB5C2F5E"/>
    <w:rsid w:val="FB5D0962"/>
    <w:rsid w:val="FB693551"/>
    <w:rsid w:val="FB770C6C"/>
    <w:rsid w:val="FB771F10"/>
    <w:rsid w:val="FB7C9EE2"/>
    <w:rsid w:val="FB7CF920"/>
    <w:rsid w:val="FB7ED16A"/>
    <w:rsid w:val="FB7FA364"/>
    <w:rsid w:val="FB85763D"/>
    <w:rsid w:val="FB972050"/>
    <w:rsid w:val="FB9A98BF"/>
    <w:rsid w:val="FBA530A2"/>
    <w:rsid w:val="FBA772A2"/>
    <w:rsid w:val="FBABDFD3"/>
    <w:rsid w:val="FBAFAE28"/>
    <w:rsid w:val="FBB66B38"/>
    <w:rsid w:val="FBB7FBD1"/>
    <w:rsid w:val="FBBF549A"/>
    <w:rsid w:val="FBBF8476"/>
    <w:rsid w:val="FBC9B4A6"/>
    <w:rsid w:val="FBD00DE6"/>
    <w:rsid w:val="FBDB53C6"/>
    <w:rsid w:val="FBDD39C3"/>
    <w:rsid w:val="FBDF2F8A"/>
    <w:rsid w:val="FBE30B50"/>
    <w:rsid w:val="FBE4049F"/>
    <w:rsid w:val="FBE7D4F6"/>
    <w:rsid w:val="FBEB97BB"/>
    <w:rsid w:val="FBEBD06B"/>
    <w:rsid w:val="FBEDDE9F"/>
    <w:rsid w:val="FBEFC11C"/>
    <w:rsid w:val="FBF2DBA1"/>
    <w:rsid w:val="FBF50E23"/>
    <w:rsid w:val="FBF53549"/>
    <w:rsid w:val="FBF6DB1E"/>
    <w:rsid w:val="FBF767F4"/>
    <w:rsid w:val="FBF9383E"/>
    <w:rsid w:val="FBFACCA4"/>
    <w:rsid w:val="FBFBF705"/>
    <w:rsid w:val="FBFDF410"/>
    <w:rsid w:val="FBFF207F"/>
    <w:rsid w:val="FBFF2AA3"/>
    <w:rsid w:val="FBFF39C8"/>
    <w:rsid w:val="FBFF9237"/>
    <w:rsid w:val="FBFF9517"/>
    <w:rsid w:val="FBFFEFE0"/>
    <w:rsid w:val="FC382BE1"/>
    <w:rsid w:val="FC46D70B"/>
    <w:rsid w:val="FC579191"/>
    <w:rsid w:val="FC758035"/>
    <w:rsid w:val="FCACBD3A"/>
    <w:rsid w:val="FCAF1F85"/>
    <w:rsid w:val="FCB009E2"/>
    <w:rsid w:val="FCED053B"/>
    <w:rsid w:val="FCEF7878"/>
    <w:rsid w:val="FCEF89F9"/>
    <w:rsid w:val="FCF7AFA2"/>
    <w:rsid w:val="FCFD1CB0"/>
    <w:rsid w:val="FCFEFD93"/>
    <w:rsid w:val="FCFF65EE"/>
    <w:rsid w:val="FCFFD642"/>
    <w:rsid w:val="FCFFF86B"/>
    <w:rsid w:val="FD1DFE43"/>
    <w:rsid w:val="FD3FABCC"/>
    <w:rsid w:val="FD560315"/>
    <w:rsid w:val="FD634F0B"/>
    <w:rsid w:val="FD6B5DC2"/>
    <w:rsid w:val="FD6E9027"/>
    <w:rsid w:val="FD7388E2"/>
    <w:rsid w:val="FD76934D"/>
    <w:rsid w:val="FD7A58A9"/>
    <w:rsid w:val="FD7A6919"/>
    <w:rsid w:val="FD7B34CB"/>
    <w:rsid w:val="FD7B4C65"/>
    <w:rsid w:val="FD7B68B7"/>
    <w:rsid w:val="FD7B96D1"/>
    <w:rsid w:val="FD7CE19C"/>
    <w:rsid w:val="FD7D90F6"/>
    <w:rsid w:val="FD87A95E"/>
    <w:rsid w:val="FD8E734C"/>
    <w:rsid w:val="FD974131"/>
    <w:rsid w:val="FD9B3281"/>
    <w:rsid w:val="FDA7F354"/>
    <w:rsid w:val="FDA9AB7C"/>
    <w:rsid w:val="FDB339DE"/>
    <w:rsid w:val="FDB58D04"/>
    <w:rsid w:val="FDBB678B"/>
    <w:rsid w:val="FDBD9DEC"/>
    <w:rsid w:val="FDBDD838"/>
    <w:rsid w:val="FDBEA9A9"/>
    <w:rsid w:val="FDBF748D"/>
    <w:rsid w:val="FDCF12C4"/>
    <w:rsid w:val="FDCF2886"/>
    <w:rsid w:val="FDCF95BE"/>
    <w:rsid w:val="FDD3E6BB"/>
    <w:rsid w:val="FDDC2C82"/>
    <w:rsid w:val="FDDE9FE6"/>
    <w:rsid w:val="FDE7B430"/>
    <w:rsid w:val="FDEB3977"/>
    <w:rsid w:val="FDEBE3DE"/>
    <w:rsid w:val="FDF54231"/>
    <w:rsid w:val="FDF790C0"/>
    <w:rsid w:val="FDF7DC25"/>
    <w:rsid w:val="FDFA5279"/>
    <w:rsid w:val="FDFB48E8"/>
    <w:rsid w:val="FDFB7369"/>
    <w:rsid w:val="FDFBA737"/>
    <w:rsid w:val="FDFD9DE5"/>
    <w:rsid w:val="FDFDD741"/>
    <w:rsid w:val="FDFF43E8"/>
    <w:rsid w:val="FDFF8B71"/>
    <w:rsid w:val="FDFF993D"/>
    <w:rsid w:val="FDFFC7E5"/>
    <w:rsid w:val="FE1BEF99"/>
    <w:rsid w:val="FE2767D6"/>
    <w:rsid w:val="FE3BC046"/>
    <w:rsid w:val="FE3FA66A"/>
    <w:rsid w:val="FE718B3A"/>
    <w:rsid w:val="FE7756D2"/>
    <w:rsid w:val="FE777CB9"/>
    <w:rsid w:val="FE7CCBF5"/>
    <w:rsid w:val="FE7D6A58"/>
    <w:rsid w:val="FE7D9D6E"/>
    <w:rsid w:val="FE7FC56C"/>
    <w:rsid w:val="FE8EAF60"/>
    <w:rsid w:val="FE97A211"/>
    <w:rsid w:val="FE9F6522"/>
    <w:rsid w:val="FEAD5A71"/>
    <w:rsid w:val="FEAFFFA8"/>
    <w:rsid w:val="FEB7E52D"/>
    <w:rsid w:val="FEBBDCC7"/>
    <w:rsid w:val="FEBDDD30"/>
    <w:rsid w:val="FEBF1251"/>
    <w:rsid w:val="FEBF1A93"/>
    <w:rsid w:val="FEBF7BA1"/>
    <w:rsid w:val="FEBF7DC4"/>
    <w:rsid w:val="FEBFF751"/>
    <w:rsid w:val="FEC7E63F"/>
    <w:rsid w:val="FECFC1BB"/>
    <w:rsid w:val="FED71F35"/>
    <w:rsid w:val="FEE783E0"/>
    <w:rsid w:val="FEE7B37B"/>
    <w:rsid w:val="FEE7E898"/>
    <w:rsid w:val="FEEBE660"/>
    <w:rsid w:val="FEED4961"/>
    <w:rsid w:val="FEEE1BB7"/>
    <w:rsid w:val="FEEF029F"/>
    <w:rsid w:val="FEEF59A9"/>
    <w:rsid w:val="FEF3875E"/>
    <w:rsid w:val="FEF42DC1"/>
    <w:rsid w:val="FEF588C9"/>
    <w:rsid w:val="FEF5AB87"/>
    <w:rsid w:val="FEF9ECCC"/>
    <w:rsid w:val="FEFC37CA"/>
    <w:rsid w:val="FEFC654E"/>
    <w:rsid w:val="FEFCE60C"/>
    <w:rsid w:val="FEFDD1B3"/>
    <w:rsid w:val="FEFDE09B"/>
    <w:rsid w:val="FEFE916C"/>
    <w:rsid w:val="FEFEA68D"/>
    <w:rsid w:val="FEFEAF42"/>
    <w:rsid w:val="FEFEF75C"/>
    <w:rsid w:val="FEFF8AFD"/>
    <w:rsid w:val="FEFFBCCA"/>
    <w:rsid w:val="FEFFCCDB"/>
    <w:rsid w:val="FEFFFC89"/>
    <w:rsid w:val="FF0FF2F4"/>
    <w:rsid w:val="FF1EB4CB"/>
    <w:rsid w:val="FF2C720F"/>
    <w:rsid w:val="FF2DE306"/>
    <w:rsid w:val="FF2F9B22"/>
    <w:rsid w:val="FF3716FF"/>
    <w:rsid w:val="FF374C65"/>
    <w:rsid w:val="FF387C9F"/>
    <w:rsid w:val="FF3D243A"/>
    <w:rsid w:val="FF3E21ED"/>
    <w:rsid w:val="FF3E881C"/>
    <w:rsid w:val="FF3F71D4"/>
    <w:rsid w:val="FF3F8C9C"/>
    <w:rsid w:val="FF3FD812"/>
    <w:rsid w:val="FF4FBBB9"/>
    <w:rsid w:val="FF56B1D8"/>
    <w:rsid w:val="FF5F8E37"/>
    <w:rsid w:val="FF5FD1B0"/>
    <w:rsid w:val="FF5FDCBC"/>
    <w:rsid w:val="FF5FE7EC"/>
    <w:rsid w:val="FF5FF1E3"/>
    <w:rsid w:val="FF679E04"/>
    <w:rsid w:val="FF6E3231"/>
    <w:rsid w:val="FF6EAC79"/>
    <w:rsid w:val="FF6F8012"/>
    <w:rsid w:val="FF727045"/>
    <w:rsid w:val="FF7310BB"/>
    <w:rsid w:val="FF7343A4"/>
    <w:rsid w:val="FF73D5F8"/>
    <w:rsid w:val="FF765011"/>
    <w:rsid w:val="FF77C8FF"/>
    <w:rsid w:val="FF799BE4"/>
    <w:rsid w:val="FF79A29B"/>
    <w:rsid w:val="FF7A1606"/>
    <w:rsid w:val="FF7AE388"/>
    <w:rsid w:val="FF7B4E65"/>
    <w:rsid w:val="FF7BEE79"/>
    <w:rsid w:val="FF7BF06C"/>
    <w:rsid w:val="FF7D8C3A"/>
    <w:rsid w:val="FF7ED817"/>
    <w:rsid w:val="FF7EDDEE"/>
    <w:rsid w:val="FF7F1566"/>
    <w:rsid w:val="FF7F3EB1"/>
    <w:rsid w:val="FF7F6B08"/>
    <w:rsid w:val="FF7F762D"/>
    <w:rsid w:val="FF7FC3C0"/>
    <w:rsid w:val="FF7FDFF0"/>
    <w:rsid w:val="FF8F0619"/>
    <w:rsid w:val="FF8FDF49"/>
    <w:rsid w:val="FF97045F"/>
    <w:rsid w:val="FF97A524"/>
    <w:rsid w:val="FF97F2D4"/>
    <w:rsid w:val="FF99AA1E"/>
    <w:rsid w:val="FF9A3012"/>
    <w:rsid w:val="FF9DAAE0"/>
    <w:rsid w:val="FF9E4EBE"/>
    <w:rsid w:val="FF9E9148"/>
    <w:rsid w:val="FF9EF16A"/>
    <w:rsid w:val="FFA62542"/>
    <w:rsid w:val="FFAE5DEE"/>
    <w:rsid w:val="FFB0F42B"/>
    <w:rsid w:val="FFB32E0B"/>
    <w:rsid w:val="FFB56E53"/>
    <w:rsid w:val="FFB5C927"/>
    <w:rsid w:val="FFB630FC"/>
    <w:rsid w:val="FFB728FA"/>
    <w:rsid w:val="FFB74530"/>
    <w:rsid w:val="FFB8009B"/>
    <w:rsid w:val="FFB9342B"/>
    <w:rsid w:val="FFB94E19"/>
    <w:rsid w:val="FFBBEC67"/>
    <w:rsid w:val="FFBC57BB"/>
    <w:rsid w:val="FFBD2F5D"/>
    <w:rsid w:val="FFBD6AC6"/>
    <w:rsid w:val="FFBDB81F"/>
    <w:rsid w:val="FFBDC598"/>
    <w:rsid w:val="FFBE4448"/>
    <w:rsid w:val="FFBE4600"/>
    <w:rsid w:val="FFBF1409"/>
    <w:rsid w:val="FFBF1A94"/>
    <w:rsid w:val="FFBF4F71"/>
    <w:rsid w:val="FFBF6111"/>
    <w:rsid w:val="FFBF7455"/>
    <w:rsid w:val="FFBF8866"/>
    <w:rsid w:val="FFBFB866"/>
    <w:rsid w:val="FFC7B56A"/>
    <w:rsid w:val="FFC92924"/>
    <w:rsid w:val="FFCF6394"/>
    <w:rsid w:val="FFCFE5F7"/>
    <w:rsid w:val="FFD14352"/>
    <w:rsid w:val="FFD507A8"/>
    <w:rsid w:val="FFD52A1B"/>
    <w:rsid w:val="FFD61823"/>
    <w:rsid w:val="FFD77411"/>
    <w:rsid w:val="FFD7A02C"/>
    <w:rsid w:val="FFDAFF99"/>
    <w:rsid w:val="FFDBB6A7"/>
    <w:rsid w:val="FFDCEC0B"/>
    <w:rsid w:val="FFDDA27E"/>
    <w:rsid w:val="FFDE6C32"/>
    <w:rsid w:val="FFDEC495"/>
    <w:rsid w:val="FFDEC99E"/>
    <w:rsid w:val="FFDEFF71"/>
    <w:rsid w:val="FFDF063B"/>
    <w:rsid w:val="FFDF1796"/>
    <w:rsid w:val="FFDF303D"/>
    <w:rsid w:val="FFDF343B"/>
    <w:rsid w:val="FFDF452A"/>
    <w:rsid w:val="FFDF7947"/>
    <w:rsid w:val="FFDF8D3A"/>
    <w:rsid w:val="FFDFA2BF"/>
    <w:rsid w:val="FFDFA59D"/>
    <w:rsid w:val="FFDFA6A0"/>
    <w:rsid w:val="FFDFB15E"/>
    <w:rsid w:val="FFDFD4B3"/>
    <w:rsid w:val="FFDFEA65"/>
    <w:rsid w:val="FFDFF41C"/>
    <w:rsid w:val="FFE402B8"/>
    <w:rsid w:val="FFE5D0E0"/>
    <w:rsid w:val="FFE7228D"/>
    <w:rsid w:val="FFE7370E"/>
    <w:rsid w:val="FFE8FF0B"/>
    <w:rsid w:val="FFEAE676"/>
    <w:rsid w:val="FFEB9CFA"/>
    <w:rsid w:val="FFEC7ADC"/>
    <w:rsid w:val="FFED17BA"/>
    <w:rsid w:val="FFED549A"/>
    <w:rsid w:val="FFED745C"/>
    <w:rsid w:val="FFEF2207"/>
    <w:rsid w:val="FFEF2C0A"/>
    <w:rsid w:val="FFEF4C52"/>
    <w:rsid w:val="FFEF5BCA"/>
    <w:rsid w:val="FFEF9951"/>
    <w:rsid w:val="FFEFA2C7"/>
    <w:rsid w:val="FFF11F4F"/>
    <w:rsid w:val="FFF16280"/>
    <w:rsid w:val="FFF24B78"/>
    <w:rsid w:val="FFF42DC6"/>
    <w:rsid w:val="FFF4A4E2"/>
    <w:rsid w:val="FFF53C86"/>
    <w:rsid w:val="FFF542CC"/>
    <w:rsid w:val="FFF55F65"/>
    <w:rsid w:val="FFF5C42B"/>
    <w:rsid w:val="FFF68FE6"/>
    <w:rsid w:val="FFF6F144"/>
    <w:rsid w:val="FFF6F1EA"/>
    <w:rsid w:val="FFF71859"/>
    <w:rsid w:val="FFF73E12"/>
    <w:rsid w:val="FFF74312"/>
    <w:rsid w:val="FFF75546"/>
    <w:rsid w:val="FFF78E6E"/>
    <w:rsid w:val="FFF7C70D"/>
    <w:rsid w:val="FFF7D003"/>
    <w:rsid w:val="FFF7DDF3"/>
    <w:rsid w:val="FFF90E40"/>
    <w:rsid w:val="FFF92246"/>
    <w:rsid w:val="FFF984D9"/>
    <w:rsid w:val="FFF9A2F1"/>
    <w:rsid w:val="FFF9F4F5"/>
    <w:rsid w:val="FFFA7AA1"/>
    <w:rsid w:val="FFFAB36F"/>
    <w:rsid w:val="FFFB0A18"/>
    <w:rsid w:val="FFFB0FC8"/>
    <w:rsid w:val="FFFB2955"/>
    <w:rsid w:val="FFFB64EC"/>
    <w:rsid w:val="FFFBC50D"/>
    <w:rsid w:val="FFFBF8D2"/>
    <w:rsid w:val="FFFBF936"/>
    <w:rsid w:val="FFFC4F8E"/>
    <w:rsid w:val="FFFCED7F"/>
    <w:rsid w:val="FFFD1B15"/>
    <w:rsid w:val="FFFD3E79"/>
    <w:rsid w:val="FFFD5901"/>
    <w:rsid w:val="FFFDBC1F"/>
    <w:rsid w:val="FFFDD5E3"/>
    <w:rsid w:val="FFFDE8FE"/>
    <w:rsid w:val="FFFDFB1B"/>
    <w:rsid w:val="FFFE1A29"/>
    <w:rsid w:val="FFFE1EC0"/>
    <w:rsid w:val="FFFE4D2E"/>
    <w:rsid w:val="FFFE65D9"/>
    <w:rsid w:val="FFFEEC7D"/>
    <w:rsid w:val="FFFF0399"/>
    <w:rsid w:val="FFFF03F1"/>
    <w:rsid w:val="FFFF0E2E"/>
    <w:rsid w:val="FFFF1001"/>
    <w:rsid w:val="FFFF19BC"/>
    <w:rsid w:val="FFFF3330"/>
    <w:rsid w:val="FFFF37B4"/>
    <w:rsid w:val="FFFF3973"/>
    <w:rsid w:val="FFFF3D4F"/>
    <w:rsid w:val="FFFF5C5B"/>
    <w:rsid w:val="FFFF5C6F"/>
    <w:rsid w:val="FFFF5E92"/>
    <w:rsid w:val="FFFF64DA"/>
    <w:rsid w:val="FFFF66D9"/>
    <w:rsid w:val="FFFF748C"/>
    <w:rsid w:val="FFFF7F8D"/>
    <w:rsid w:val="FFFF8943"/>
    <w:rsid w:val="FFFF8C2A"/>
    <w:rsid w:val="FFFFB125"/>
    <w:rsid w:val="FFFFB1C0"/>
    <w:rsid w:val="FFFFCEFE"/>
    <w:rsid w:val="FFFFD129"/>
    <w:rsid w:val="FFFFDE81"/>
    <w:rsid w:val="FFFFE087"/>
    <w:rsid w:val="FFFFF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6"/>
    <w:unhideWhenUsed/>
    <w:qFormat/>
    <w:uiPriority w:val="0"/>
    <w:pPr>
      <w:spacing w:beforeAutospacing="1" w:afterAutospacing="1" w:line="360" w:lineRule="auto"/>
      <w:jc w:val="center"/>
      <w:outlineLvl w:val="1"/>
    </w:pPr>
    <w:rPr>
      <w:rFonts w:hint="eastAsia" w:ascii="宋体" w:hAnsi="宋体" w:eastAsia="宋体" w:cs="Times New Roman"/>
      <w:kern w:val="0"/>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Hyperlink"/>
    <w:basedOn w:val="11"/>
    <w:qFormat/>
    <w:uiPriority w:val="0"/>
    <w:rPr>
      <w:color w:val="0000FF"/>
      <w:u w:val="single"/>
    </w:rPr>
  </w:style>
  <w:style w:type="paragraph" w:customStyle="1" w:styleId="13">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character" w:customStyle="1" w:styleId="14">
    <w:name w:val="font01"/>
    <w:basedOn w:val="11"/>
    <w:qFormat/>
    <w:uiPriority w:val="0"/>
    <w:rPr>
      <w:rFonts w:hint="eastAsia" w:ascii="宋体" w:hAnsi="宋体" w:eastAsia="宋体" w:cs="宋体"/>
      <w:strike/>
      <w:color w:val="000000"/>
      <w:sz w:val="16"/>
      <w:szCs w:val="16"/>
    </w:rPr>
  </w:style>
  <w:style w:type="character" w:customStyle="1" w:styleId="15">
    <w:name w:val="font21"/>
    <w:basedOn w:val="11"/>
    <w:qFormat/>
    <w:uiPriority w:val="0"/>
    <w:rPr>
      <w:rFonts w:hint="eastAsia" w:ascii="宋体" w:hAnsi="宋体" w:eastAsia="宋体" w:cs="宋体"/>
      <w:color w:val="000000"/>
      <w:sz w:val="16"/>
      <w:szCs w:val="16"/>
      <w:u w:val="none"/>
    </w:rPr>
  </w:style>
  <w:style w:type="character" w:customStyle="1" w:styleId="16">
    <w:name w:val="标题 2 Char"/>
    <w:link w:val="2"/>
    <w:qFormat/>
    <w:uiPriority w:val="0"/>
    <w:rPr>
      <w:rFonts w:hint="eastAsia" w:ascii="宋体" w:hAnsi="宋体" w:eastAsia="宋体" w:cs="Times New Roman"/>
      <w:kern w:val="0"/>
      <w:szCs w:val="36"/>
    </w:rPr>
  </w:style>
  <w:style w:type="character" w:customStyle="1" w:styleId="17">
    <w:name w:val="页眉 Char"/>
    <w:basedOn w:val="11"/>
    <w:link w:val="6"/>
    <w:qFormat/>
    <w:uiPriority w:val="0"/>
    <w:rPr>
      <w:rFonts w:asciiTheme="minorHAnsi" w:hAnsiTheme="minorHAnsi" w:eastAsiaTheme="minorEastAsia" w:cstheme="minorBidi"/>
      <w:kern w:val="2"/>
      <w:sz w:val="18"/>
      <w:szCs w:val="18"/>
    </w:rPr>
  </w:style>
  <w:style w:type="character" w:customStyle="1" w:styleId="18">
    <w:name w:val="批注框文本 Char"/>
    <w:basedOn w:val="11"/>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86</Pages>
  <Words>90103</Words>
  <Characters>95071</Characters>
  <Lines>602</Lines>
  <Paragraphs>169</Paragraphs>
  <TotalTime>2</TotalTime>
  <ScaleCrop>false</ScaleCrop>
  <LinksUpToDate>false</LinksUpToDate>
  <CharactersWithSpaces>95307</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2014-12-09T04:08:00Z</dcterms:created>
  <dc:creator>admin</dc:creator>
  <cp:lastModifiedBy>zyt</cp:lastModifiedBy>
  <cp:lastPrinted>2024-12-02T01:35:00Z</cp:lastPrinted>
  <dcterms:modified xsi:type="dcterms:W3CDTF">2025-04-14T15:28:27Z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EE58E62C998311218BA05A673F28342A_43</vt:lpwstr>
  </property>
</Properties>
</file>